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5379" w14:textId="568B514C" w:rsidR="00DB4B23" w:rsidRDefault="00CE4381" w:rsidP="00102DA7">
      <w:pPr>
        <w:jc w:val="right"/>
        <w:rPr>
          <w:sz w:val="22"/>
        </w:rPr>
      </w:pPr>
      <w:r w:rsidRPr="008734A8">
        <w:rPr>
          <w:noProof/>
          <w:lang w:eastAsia="en-GB"/>
        </w:rPr>
        <w:drawing>
          <wp:inline distT="0" distB="0" distL="0" distR="0" wp14:anchorId="27D5B178" wp14:editId="03EDD830">
            <wp:extent cx="1005840" cy="701031"/>
            <wp:effectExtent l="0" t="0" r="0" b="0"/>
            <wp:docPr id="1" name="Picture 1" title="COS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COSLA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C60F" w14:textId="16C92E65" w:rsidR="005E2009" w:rsidRPr="00725B61" w:rsidRDefault="000807B9" w:rsidP="00725B61">
      <w:pPr>
        <w:keepNext/>
        <w:ind w:right="57"/>
        <w:jc w:val="right"/>
        <w:outlineLvl w:val="1"/>
        <w:rPr>
          <w:rFonts w:cs="Arial"/>
          <w:bCs/>
          <w:sz w:val="20"/>
        </w:rPr>
      </w:pPr>
      <w:r w:rsidRPr="00D67C8C">
        <w:rPr>
          <w:rFonts w:cs="Arial"/>
          <w:sz w:val="20"/>
        </w:rPr>
        <w:t xml:space="preserve">Environment and Economy Board </w:t>
      </w:r>
      <w:r>
        <w:rPr>
          <w:rFonts w:cs="Arial"/>
          <w:sz w:val="20"/>
        </w:rPr>
        <w:t>Item</w:t>
      </w:r>
      <w:r w:rsidR="00C02F37">
        <w:rPr>
          <w:rFonts w:cs="Arial"/>
          <w:sz w:val="20"/>
        </w:rPr>
        <w:t xml:space="preserve"> </w:t>
      </w:r>
      <w:r w:rsidR="005D7DDC">
        <w:rPr>
          <w:rFonts w:cs="Arial"/>
          <w:sz w:val="20"/>
        </w:rPr>
        <w:t>12</w:t>
      </w:r>
    </w:p>
    <w:p w14:paraId="3AA248C8" w14:textId="77777777" w:rsidR="00846BBF" w:rsidRDefault="00846BBF" w:rsidP="009017DF">
      <w:pPr>
        <w:jc w:val="center"/>
        <w:rPr>
          <w:b/>
          <w:u w:val="single"/>
        </w:rPr>
      </w:pPr>
      <w:bookmarkStart w:id="0" w:name="_GoBack"/>
      <w:bookmarkEnd w:id="0"/>
    </w:p>
    <w:p w14:paraId="7CE2CC15" w14:textId="77777777" w:rsidR="00591AE2" w:rsidRPr="004D67E1" w:rsidRDefault="00591AE2" w:rsidP="00591AE2">
      <w:pPr>
        <w:jc w:val="center"/>
        <w:rPr>
          <w:b/>
          <w:u w:val="single"/>
        </w:rPr>
      </w:pPr>
      <w:r w:rsidRPr="004D67E1">
        <w:rPr>
          <w:b/>
          <w:u w:val="single"/>
        </w:rPr>
        <w:t>The post-Brexit Implications for the Fishing Industry</w:t>
      </w:r>
    </w:p>
    <w:p w14:paraId="0CDE3C9C" w14:textId="77777777" w:rsidR="00714EFE" w:rsidRPr="00714EFE" w:rsidRDefault="00714EFE" w:rsidP="00714E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479C" w:rsidRPr="0037479C" w14:paraId="611D2448" w14:textId="77777777" w:rsidTr="00EE5BAC">
        <w:trPr>
          <w:trHeight w:val="855"/>
        </w:trPr>
        <w:tc>
          <w:tcPr>
            <w:tcW w:w="9242" w:type="dxa"/>
            <w:shd w:val="clear" w:color="auto" w:fill="auto"/>
          </w:tcPr>
          <w:p w14:paraId="44C7F3A1" w14:textId="77777777" w:rsidR="0037479C" w:rsidRDefault="001C4BF2" w:rsidP="00223FD1">
            <w:pPr>
              <w:spacing w:line="259" w:lineRule="auto"/>
              <w:rPr>
                <w:rFonts w:eastAsia="Calibri" w:cs="Arial"/>
                <w:b/>
                <w:szCs w:val="23"/>
              </w:rPr>
            </w:pPr>
            <w:r>
              <w:rPr>
                <w:rFonts w:eastAsia="Calibri" w:cs="Arial"/>
                <w:b/>
                <w:szCs w:val="23"/>
              </w:rPr>
              <w:t>Policy Development</w:t>
            </w:r>
          </w:p>
          <w:p w14:paraId="45DA41DA" w14:textId="15F9BD96" w:rsidR="00EE5BAC" w:rsidRPr="001C4BF2" w:rsidRDefault="00134F33" w:rsidP="00F67A39">
            <w:pPr>
              <w:spacing w:line="259" w:lineRule="auto"/>
              <w:rPr>
                <w:rFonts w:eastAsia="Calibri" w:cs="Arial"/>
                <w:szCs w:val="23"/>
              </w:rPr>
            </w:pPr>
            <w:r>
              <w:rPr>
                <w:rFonts w:eastAsia="Calibri" w:cs="Arial"/>
                <w:szCs w:val="23"/>
              </w:rPr>
              <w:t xml:space="preserve">The UK is due to leave the EU in March 2019. This paper opens a discussion on the implications for Local Authorities </w:t>
            </w:r>
            <w:r w:rsidR="00734D28">
              <w:rPr>
                <w:rFonts w:eastAsia="Calibri" w:cs="Arial"/>
                <w:szCs w:val="23"/>
              </w:rPr>
              <w:t>of changes to fishing policy after the UK leaves the EU.</w:t>
            </w:r>
            <w:r>
              <w:rPr>
                <w:rFonts w:eastAsia="Calibri" w:cs="Arial"/>
                <w:szCs w:val="23"/>
              </w:rPr>
              <w:t xml:space="preserve"> </w:t>
            </w:r>
          </w:p>
        </w:tc>
      </w:tr>
    </w:tbl>
    <w:p w14:paraId="3605C110" w14:textId="77777777" w:rsidR="0037479C" w:rsidRPr="0037479C" w:rsidRDefault="0037479C" w:rsidP="00AF101F">
      <w:pPr>
        <w:spacing w:line="259" w:lineRule="auto"/>
        <w:rPr>
          <w:rFonts w:eastAsia="Calibri" w:cs="Arial"/>
          <w:b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479C" w:rsidRPr="0037479C" w14:paraId="5D18B205" w14:textId="77777777" w:rsidTr="00603DCC">
        <w:tc>
          <w:tcPr>
            <w:tcW w:w="9242" w:type="dxa"/>
            <w:shd w:val="clear" w:color="auto" w:fill="auto"/>
          </w:tcPr>
          <w:p w14:paraId="15CC53AA" w14:textId="77777777" w:rsidR="0037479C" w:rsidRDefault="0037479C" w:rsidP="0037479C">
            <w:pPr>
              <w:spacing w:line="259" w:lineRule="auto"/>
              <w:rPr>
                <w:rFonts w:eastAsia="Calibri" w:cs="Arial"/>
                <w:b/>
                <w:szCs w:val="23"/>
              </w:rPr>
            </w:pPr>
            <w:bookmarkStart w:id="1" w:name="_Hlk505254860"/>
            <w:r w:rsidRPr="0037479C">
              <w:rPr>
                <w:rFonts w:eastAsia="Calibri" w:cs="Arial"/>
                <w:b/>
                <w:szCs w:val="23"/>
              </w:rPr>
              <w:t>Summary and Recommendations</w:t>
            </w:r>
          </w:p>
          <w:p w14:paraId="3A215715" w14:textId="068A8C98" w:rsidR="001C558F" w:rsidRPr="00134F33" w:rsidRDefault="001C4BF2" w:rsidP="00134F33">
            <w:pPr>
              <w:spacing w:line="259" w:lineRule="auto"/>
              <w:rPr>
                <w:rFonts w:eastAsia="Calibri" w:cs="Arial"/>
                <w:szCs w:val="23"/>
              </w:rPr>
            </w:pPr>
            <w:r>
              <w:rPr>
                <w:rFonts w:eastAsia="Calibri" w:cs="Arial"/>
                <w:szCs w:val="23"/>
              </w:rPr>
              <w:t xml:space="preserve">This paper </w:t>
            </w:r>
            <w:r w:rsidR="001C558F">
              <w:rPr>
                <w:rFonts w:eastAsia="Calibri" w:cs="Arial"/>
                <w:szCs w:val="23"/>
              </w:rPr>
              <w:t xml:space="preserve">is for information </w:t>
            </w:r>
            <w:r w:rsidR="00134F33">
              <w:rPr>
                <w:rFonts w:eastAsia="Calibri" w:cs="Arial"/>
                <w:szCs w:val="23"/>
              </w:rPr>
              <w:t xml:space="preserve">but </w:t>
            </w:r>
            <w:r w:rsidR="001C558F">
              <w:rPr>
                <w:rFonts w:eastAsia="Calibri" w:cs="Arial"/>
                <w:szCs w:val="23"/>
              </w:rPr>
              <w:t>if members are so minded, this paper could be a s</w:t>
            </w:r>
            <w:r w:rsidR="001C558F">
              <w:t xml:space="preserve">tep towards COSLA developing a position on </w:t>
            </w:r>
            <w:r w:rsidR="00DC1DFA">
              <w:t>the role of local authorities in developing onshore infrastructure for the fishing industry</w:t>
            </w:r>
            <w:r w:rsidR="00587CCE">
              <w:t xml:space="preserve"> post-Brexit</w:t>
            </w:r>
            <w:r w:rsidR="001C558F">
              <w:t>.</w:t>
            </w:r>
            <w:r w:rsidR="00970394">
              <w:t xml:space="preserve"> If this is to ha</w:t>
            </w:r>
            <w:r w:rsidR="00EE0486">
              <w:t>ppen COSLA would be looking to Local A</w:t>
            </w:r>
            <w:r w:rsidR="00970394">
              <w:t>uthorities with an interest in fisheries policy to carry out this work and to report to a future Board</w:t>
            </w:r>
            <w:r w:rsidR="00134F33">
              <w:t>.</w:t>
            </w:r>
            <w:r w:rsidR="00EF1B3D">
              <w:t xml:space="preserve"> The Board should be aware that Shetland Island</w:t>
            </w:r>
            <w:r w:rsidR="00463753">
              <w:t>s</w:t>
            </w:r>
            <w:r w:rsidR="00EF1B3D">
              <w:t xml:space="preserve"> Council has indicated that it is willing to help develop this work for a future meeting.</w:t>
            </w:r>
            <w:r w:rsidR="00463753">
              <w:t xml:space="preserve"> This paper was written with the help of the Council.</w:t>
            </w:r>
          </w:p>
          <w:p w14:paraId="0647F41F" w14:textId="77777777" w:rsidR="001C4BF2" w:rsidRDefault="001C4BF2" w:rsidP="0037479C">
            <w:pPr>
              <w:spacing w:line="259" w:lineRule="auto"/>
              <w:rPr>
                <w:rFonts w:eastAsia="Calibri" w:cs="Arial"/>
                <w:szCs w:val="23"/>
              </w:rPr>
            </w:pPr>
          </w:p>
          <w:p w14:paraId="70FC3893" w14:textId="6E5E0EE1" w:rsidR="001C4BF2" w:rsidRPr="00646628" w:rsidRDefault="001C4BF2" w:rsidP="00DC1DFA">
            <w:pPr>
              <w:spacing w:line="259" w:lineRule="auto"/>
              <w:rPr>
                <w:rFonts w:eastAsia="Calibri" w:cs="Arial"/>
                <w:szCs w:val="23"/>
              </w:rPr>
            </w:pPr>
            <w:r>
              <w:rPr>
                <w:rFonts w:eastAsia="Calibri" w:cs="Arial"/>
                <w:szCs w:val="23"/>
              </w:rPr>
              <w:t xml:space="preserve">The Board </w:t>
            </w:r>
            <w:r w:rsidR="005E7D8E">
              <w:rPr>
                <w:rFonts w:eastAsia="Calibri" w:cs="Arial"/>
                <w:szCs w:val="23"/>
              </w:rPr>
              <w:t>is</w:t>
            </w:r>
            <w:r>
              <w:rPr>
                <w:rFonts w:eastAsia="Calibri" w:cs="Arial"/>
                <w:szCs w:val="23"/>
              </w:rPr>
              <w:t xml:space="preserve"> invited to</w:t>
            </w:r>
            <w:r w:rsidR="00646628">
              <w:rPr>
                <w:rFonts w:eastAsia="Calibri" w:cs="Arial"/>
                <w:szCs w:val="23"/>
              </w:rPr>
              <w:t xml:space="preserve"> </w:t>
            </w:r>
            <w:r w:rsidR="00DC1DFA">
              <w:rPr>
                <w:rFonts w:eastAsia="Calibri" w:cs="Arial"/>
                <w:szCs w:val="23"/>
              </w:rPr>
              <w:t>d</w:t>
            </w:r>
            <w:bookmarkEnd w:id="1"/>
            <w:r w:rsidR="00041110">
              <w:rPr>
                <w:rFonts w:cs="Arial"/>
                <w:szCs w:val="23"/>
              </w:rPr>
              <w:t>iscuss</w:t>
            </w:r>
            <w:r w:rsidR="00A07E92" w:rsidRPr="00B948EB">
              <w:rPr>
                <w:rFonts w:cs="Arial"/>
                <w:szCs w:val="23"/>
              </w:rPr>
              <w:t xml:space="preserve"> the </w:t>
            </w:r>
            <w:r w:rsidR="001C558F">
              <w:rPr>
                <w:rFonts w:cs="Arial"/>
                <w:szCs w:val="23"/>
              </w:rPr>
              <w:t xml:space="preserve">paper and </w:t>
            </w:r>
            <w:r w:rsidR="00134F33">
              <w:rPr>
                <w:rFonts w:cs="Arial"/>
                <w:szCs w:val="23"/>
              </w:rPr>
              <w:t xml:space="preserve">to </w:t>
            </w:r>
            <w:r w:rsidR="00463753">
              <w:rPr>
                <w:rFonts w:cs="Arial"/>
                <w:szCs w:val="23"/>
              </w:rPr>
              <w:t>agree</w:t>
            </w:r>
            <w:r w:rsidR="00EE0486">
              <w:rPr>
                <w:rFonts w:cs="Arial"/>
                <w:szCs w:val="23"/>
              </w:rPr>
              <w:t xml:space="preserve"> if</w:t>
            </w:r>
            <w:r w:rsidR="001C558F">
              <w:rPr>
                <w:rFonts w:cs="Arial"/>
                <w:szCs w:val="23"/>
              </w:rPr>
              <w:t xml:space="preserve"> </w:t>
            </w:r>
            <w:r w:rsidR="00134F33">
              <w:rPr>
                <w:rFonts w:cs="Arial"/>
                <w:szCs w:val="23"/>
              </w:rPr>
              <w:t>i</w:t>
            </w:r>
            <w:r w:rsidR="00EE0486">
              <w:rPr>
                <w:rFonts w:cs="Arial"/>
                <w:szCs w:val="23"/>
              </w:rPr>
              <w:t>t</w:t>
            </w:r>
            <w:r w:rsidR="001C558F">
              <w:rPr>
                <w:rFonts w:cs="Arial"/>
                <w:szCs w:val="23"/>
              </w:rPr>
              <w:t xml:space="preserve"> wish</w:t>
            </w:r>
            <w:r w:rsidR="00134F33">
              <w:rPr>
                <w:rFonts w:cs="Arial"/>
                <w:szCs w:val="23"/>
              </w:rPr>
              <w:t>es</w:t>
            </w:r>
            <w:r w:rsidR="001C558F">
              <w:rPr>
                <w:rFonts w:cs="Arial"/>
                <w:szCs w:val="23"/>
              </w:rPr>
              <w:t xml:space="preserve"> to develop </w:t>
            </w:r>
            <w:r w:rsidR="00DC1DFA">
              <w:rPr>
                <w:rFonts w:cs="Arial"/>
                <w:szCs w:val="23"/>
              </w:rPr>
              <w:t xml:space="preserve">such </w:t>
            </w:r>
            <w:r w:rsidR="001C558F">
              <w:rPr>
                <w:rFonts w:cs="Arial"/>
                <w:szCs w:val="23"/>
              </w:rPr>
              <w:t>a position</w:t>
            </w:r>
            <w:r w:rsidR="00DC1DFA">
              <w:rPr>
                <w:rFonts w:cs="Arial"/>
                <w:szCs w:val="23"/>
              </w:rPr>
              <w:t>.</w:t>
            </w:r>
            <w:r w:rsidR="001C558F">
              <w:rPr>
                <w:rFonts w:cs="Arial"/>
                <w:szCs w:val="23"/>
              </w:rPr>
              <w:t xml:space="preserve"> </w:t>
            </w:r>
          </w:p>
          <w:p w14:paraId="171FF8C9" w14:textId="77777777" w:rsidR="008448E3" w:rsidRDefault="008448E3" w:rsidP="008448E3">
            <w:pPr>
              <w:pStyle w:val="ColourfulShadingAccent31"/>
              <w:tabs>
                <w:tab w:val="left" w:pos="1134"/>
              </w:tabs>
              <w:spacing w:before="60"/>
              <w:rPr>
                <w:rFonts w:cs="Arial"/>
                <w:szCs w:val="23"/>
              </w:rPr>
            </w:pPr>
          </w:p>
          <w:p w14:paraId="102B02D7" w14:textId="75BAB789" w:rsidR="008448E3" w:rsidRPr="00B948EB" w:rsidRDefault="008448E3" w:rsidP="008448E3">
            <w:pPr>
              <w:pStyle w:val="ColourfulShadingAccent31"/>
              <w:tabs>
                <w:tab w:val="left" w:pos="1134"/>
              </w:tabs>
              <w:spacing w:before="60"/>
              <w:rPr>
                <w:rFonts w:cs="Arial"/>
                <w:szCs w:val="23"/>
              </w:rPr>
            </w:pPr>
          </w:p>
        </w:tc>
      </w:tr>
    </w:tbl>
    <w:p w14:paraId="17724156" w14:textId="77777777" w:rsidR="0037479C" w:rsidRPr="0037479C" w:rsidRDefault="0037479C" w:rsidP="00AF101F">
      <w:pPr>
        <w:spacing w:line="259" w:lineRule="auto"/>
        <w:rPr>
          <w:rFonts w:eastAsia="Calibri" w:cs="Arial"/>
          <w:b/>
          <w:szCs w:val="23"/>
        </w:rPr>
      </w:pP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479C" w:rsidRPr="0037479C" w14:paraId="51363F87" w14:textId="77777777" w:rsidTr="00603DCC">
        <w:tc>
          <w:tcPr>
            <w:tcW w:w="9242" w:type="dxa"/>
            <w:shd w:val="clear" w:color="auto" w:fill="auto"/>
          </w:tcPr>
          <w:p w14:paraId="154139B7" w14:textId="49A1E4F5" w:rsidR="0037479C" w:rsidRDefault="0037479C" w:rsidP="0037479C">
            <w:pPr>
              <w:spacing w:line="259" w:lineRule="auto"/>
              <w:rPr>
                <w:rFonts w:eastAsia="Calibri" w:cs="Arial"/>
                <w:b/>
                <w:szCs w:val="23"/>
              </w:rPr>
            </w:pPr>
            <w:r w:rsidRPr="0037479C">
              <w:rPr>
                <w:rFonts w:eastAsia="Calibri" w:cs="Arial"/>
                <w:b/>
                <w:szCs w:val="23"/>
              </w:rPr>
              <w:t>References</w:t>
            </w:r>
          </w:p>
          <w:p w14:paraId="62D97699" w14:textId="77777777" w:rsidR="00834F64" w:rsidRDefault="00834F64" w:rsidP="0037479C">
            <w:pPr>
              <w:spacing w:line="259" w:lineRule="auto"/>
              <w:rPr>
                <w:rFonts w:eastAsia="Calibri" w:cs="Arial"/>
                <w:b/>
                <w:szCs w:val="23"/>
              </w:rPr>
            </w:pPr>
          </w:p>
          <w:p w14:paraId="12FE68A8" w14:textId="6537CB72" w:rsidR="00834F64" w:rsidRPr="00834F64" w:rsidRDefault="00834F64" w:rsidP="00834F64">
            <w:pPr>
              <w:pStyle w:val="ListParagraph"/>
              <w:numPr>
                <w:ilvl w:val="0"/>
                <w:numId w:val="49"/>
              </w:numPr>
              <w:tabs>
                <w:tab w:val="clear" w:pos="720"/>
                <w:tab w:val="left" w:pos="1134"/>
              </w:tabs>
              <w:spacing w:before="60"/>
              <w:ind w:left="1134" w:hanging="567"/>
              <w:rPr>
                <w:rFonts w:eastAsia="Calibri" w:cs="Arial"/>
                <w:szCs w:val="23"/>
              </w:rPr>
            </w:pPr>
            <w:r w:rsidRPr="00834F64">
              <w:rPr>
                <w:rFonts w:eastAsia="Calibri" w:cs="Arial"/>
                <w:szCs w:val="23"/>
              </w:rPr>
              <w:t>There are no previous COSLA reports on this item</w:t>
            </w:r>
          </w:p>
          <w:p w14:paraId="4149AD87" w14:textId="045287F5" w:rsidR="00725B61" w:rsidRPr="007F14E4" w:rsidRDefault="00734D28" w:rsidP="00834F64">
            <w:pPr>
              <w:pStyle w:val="ColourfulShadingAccent31"/>
              <w:numPr>
                <w:ilvl w:val="0"/>
                <w:numId w:val="48"/>
              </w:numPr>
              <w:tabs>
                <w:tab w:val="clear" w:pos="1440"/>
                <w:tab w:val="left" w:pos="1134"/>
              </w:tabs>
              <w:spacing w:before="60"/>
              <w:ind w:left="1134" w:hanging="567"/>
              <w:rPr>
                <w:rFonts w:eastAsia="Calibri" w:cs="Arial"/>
                <w:i/>
                <w:szCs w:val="23"/>
              </w:rPr>
            </w:pPr>
            <w:r w:rsidRPr="00734D28">
              <w:rPr>
                <w:rFonts w:eastAsia="Calibri" w:cs="Arial"/>
                <w:szCs w:val="23"/>
              </w:rPr>
              <w:t>Other references</w:t>
            </w:r>
            <w:r>
              <w:rPr>
                <w:rFonts w:eastAsia="Calibri" w:cs="Arial"/>
                <w:i/>
                <w:szCs w:val="23"/>
              </w:rPr>
              <w:t xml:space="preserve"> - </w:t>
            </w:r>
            <w:hyperlink r:id="rId14" w:history="1">
              <w:r w:rsidR="007F14E4" w:rsidRPr="00463753">
                <w:rPr>
                  <w:rStyle w:val="Hyperlink"/>
                  <w:rFonts w:eastAsia="Calibri" w:cs="Arial"/>
                  <w:szCs w:val="23"/>
                </w:rPr>
                <w:t xml:space="preserve">Fish Landings from the </w:t>
              </w:r>
              <w:r w:rsidR="007F14E4" w:rsidRPr="00463753">
                <w:rPr>
                  <w:rStyle w:val="Hyperlink"/>
                </w:rPr>
                <w:t xml:space="preserve"> </w:t>
              </w:r>
              <w:r w:rsidR="007F14E4" w:rsidRPr="00463753">
                <w:rPr>
                  <w:rStyle w:val="Hyperlink"/>
                  <w:rFonts w:eastAsia="Calibri" w:cs="Arial"/>
                  <w:szCs w:val="23"/>
                </w:rPr>
                <w:t>UK EEZ and UK Landings from the EU EEZ in 2016, NAFC Marine Centre report, October 2017</w:t>
              </w:r>
            </w:hyperlink>
          </w:p>
          <w:p w14:paraId="6CC15DBE" w14:textId="53676990" w:rsidR="007F14E4" w:rsidRPr="007F14E4" w:rsidRDefault="007F14E4" w:rsidP="007F14E4">
            <w:pPr>
              <w:pStyle w:val="ColourfulShadingAccent31"/>
              <w:tabs>
                <w:tab w:val="left" w:pos="1134"/>
              </w:tabs>
              <w:spacing w:before="60"/>
              <w:ind w:left="1440"/>
              <w:rPr>
                <w:rFonts w:eastAsia="Calibri" w:cs="Arial"/>
                <w:i/>
                <w:szCs w:val="23"/>
              </w:rPr>
            </w:pPr>
          </w:p>
        </w:tc>
      </w:tr>
    </w:tbl>
    <w:p w14:paraId="4346BF66" w14:textId="1BBE2120" w:rsidR="00EF6E47" w:rsidRDefault="00EF6E47">
      <w:pPr>
        <w:rPr>
          <w:b/>
        </w:rPr>
      </w:pPr>
    </w:p>
    <w:p w14:paraId="3C6DCC60" w14:textId="77777777" w:rsidR="00BC53E6" w:rsidRDefault="00BC53E6">
      <w:pPr>
        <w:rPr>
          <w:b/>
        </w:rPr>
      </w:pPr>
    </w:p>
    <w:p w14:paraId="43A4B4D5" w14:textId="54AA17AA" w:rsidR="00A96ACB" w:rsidRDefault="008448E3">
      <w:pPr>
        <w:rPr>
          <w:b/>
        </w:rPr>
      </w:pPr>
      <w:r>
        <w:rPr>
          <w:b/>
        </w:rPr>
        <w:t xml:space="preserve"> </w:t>
      </w:r>
    </w:p>
    <w:p w14:paraId="57EFA0DC" w14:textId="77777777" w:rsidR="00A96ACB" w:rsidRDefault="00A96ACB">
      <w:pPr>
        <w:rPr>
          <w:b/>
        </w:rPr>
        <w:sectPr w:rsidR="00A96ACB" w:rsidSect="006D2695">
          <w:footerReference w:type="default" r:id="rId15"/>
          <w:footerReference w:type="first" r:id="rId16"/>
          <w:pgSz w:w="11907" w:h="16834"/>
          <w:pgMar w:top="1152" w:right="1022" w:bottom="720" w:left="1282" w:header="706" w:footer="706" w:gutter="0"/>
          <w:cols w:space="720"/>
          <w:docGrid w:linePitch="360"/>
        </w:sectPr>
      </w:pPr>
    </w:p>
    <w:p w14:paraId="0C3AB7E7" w14:textId="5158D4FC" w:rsidR="00A96ACB" w:rsidRPr="000035AE" w:rsidRDefault="00A96ACB">
      <w:pPr>
        <w:rPr>
          <w:b/>
        </w:rPr>
      </w:pPr>
    </w:p>
    <w:p w14:paraId="333A76D8" w14:textId="7466BE7D" w:rsidR="00AF101F" w:rsidRDefault="00CE4381" w:rsidP="00AF101F">
      <w:pPr>
        <w:jc w:val="right"/>
      </w:pPr>
      <w:r w:rsidRPr="008734A8">
        <w:rPr>
          <w:noProof/>
          <w:lang w:eastAsia="en-GB"/>
        </w:rPr>
        <w:drawing>
          <wp:inline distT="0" distB="0" distL="0" distR="0" wp14:anchorId="4C061C23" wp14:editId="2862E137">
            <wp:extent cx="1005840" cy="701031"/>
            <wp:effectExtent l="0" t="0" r="0" b="0"/>
            <wp:docPr id="2" name="Picture 2" title="COS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COSLA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6B4A" w14:textId="63EB6E6F" w:rsidR="004362EE" w:rsidRDefault="00F67A39" w:rsidP="00AF101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EB0BB7D" w14:textId="32F91917" w:rsidR="00834F64" w:rsidRPr="00834F64" w:rsidRDefault="00834F64" w:rsidP="00834F64">
      <w:pPr>
        <w:jc w:val="center"/>
        <w:rPr>
          <w:b/>
        </w:rPr>
      </w:pPr>
      <w:r w:rsidRPr="00834F64">
        <w:rPr>
          <w:b/>
        </w:rPr>
        <w:t xml:space="preserve">The </w:t>
      </w:r>
      <w:r w:rsidR="00591AE2">
        <w:rPr>
          <w:b/>
        </w:rPr>
        <w:t>post-Brexit I</w:t>
      </w:r>
      <w:r w:rsidRPr="00834F64">
        <w:rPr>
          <w:b/>
        </w:rPr>
        <w:t xml:space="preserve">mplications for the </w:t>
      </w:r>
      <w:r w:rsidR="00591AE2">
        <w:rPr>
          <w:b/>
        </w:rPr>
        <w:t>F</w:t>
      </w:r>
      <w:r w:rsidRPr="00834F64">
        <w:rPr>
          <w:b/>
        </w:rPr>
        <w:t xml:space="preserve">ishing </w:t>
      </w:r>
      <w:r w:rsidR="00591AE2">
        <w:rPr>
          <w:b/>
        </w:rPr>
        <w:t>I</w:t>
      </w:r>
      <w:r w:rsidRPr="00834F64">
        <w:rPr>
          <w:b/>
        </w:rPr>
        <w:t>ndustry</w:t>
      </w:r>
    </w:p>
    <w:p w14:paraId="2CB9AC0F" w14:textId="77777777" w:rsidR="00577D33" w:rsidRDefault="00577D33" w:rsidP="00577D33">
      <w:pPr>
        <w:rPr>
          <w:b/>
          <w:u w:val="single"/>
        </w:rPr>
      </w:pPr>
    </w:p>
    <w:p w14:paraId="778C8037" w14:textId="5B65F088" w:rsidR="0027154D" w:rsidRPr="00577D33" w:rsidRDefault="00577D33" w:rsidP="00577D33">
      <w:pPr>
        <w:rPr>
          <w:b/>
        </w:rPr>
      </w:pPr>
      <w:r w:rsidRPr="00577D33">
        <w:rPr>
          <w:b/>
        </w:rPr>
        <w:t>Policy Development</w:t>
      </w:r>
    </w:p>
    <w:p w14:paraId="47F931CC" w14:textId="315E964E" w:rsidR="006849E5" w:rsidRPr="00734D28" w:rsidRDefault="00734D28" w:rsidP="00734D28">
      <w:pPr>
        <w:pStyle w:val="ListNumber"/>
      </w:pPr>
      <w:r>
        <w:rPr>
          <w:rFonts w:eastAsia="Calibri"/>
        </w:rPr>
        <w:t>The UK is due to leave the EU in March 2019. This paper opens a discussion on the implications for Local Authorities of changes to fishing policy after the UK leaves the EU.</w:t>
      </w:r>
    </w:p>
    <w:p w14:paraId="14B8F7AF" w14:textId="77777777" w:rsidR="00734D28" w:rsidRDefault="00734D28" w:rsidP="00734D28">
      <w:pPr>
        <w:pStyle w:val="ListNumber"/>
        <w:numPr>
          <w:ilvl w:val="0"/>
          <w:numId w:val="0"/>
        </w:numPr>
        <w:ind w:left="360"/>
      </w:pPr>
    </w:p>
    <w:p w14:paraId="41651443" w14:textId="35F4EDCF" w:rsidR="00B048DE" w:rsidRPr="00B048DE" w:rsidRDefault="00B048DE" w:rsidP="000A556A">
      <w:pPr>
        <w:pStyle w:val="ListNumber"/>
        <w:numPr>
          <w:ilvl w:val="0"/>
          <w:numId w:val="0"/>
        </w:numPr>
        <w:ind w:left="360" w:hanging="360"/>
        <w:rPr>
          <w:b/>
        </w:rPr>
      </w:pPr>
      <w:r w:rsidRPr="00B048DE">
        <w:rPr>
          <w:b/>
        </w:rPr>
        <w:t>Current COSLA position</w:t>
      </w:r>
    </w:p>
    <w:p w14:paraId="368B56DF" w14:textId="0C29F9F0" w:rsidR="00B0401F" w:rsidRDefault="001C558F" w:rsidP="00134F33">
      <w:pPr>
        <w:pStyle w:val="ListNumber"/>
      </w:pPr>
      <w:r>
        <w:t xml:space="preserve">COSLA does not have a current position on </w:t>
      </w:r>
      <w:r w:rsidR="007F14E4">
        <w:t>the role of local authorities in developing onshore infrastructure for the fishing industry</w:t>
      </w:r>
      <w:r w:rsidR="00587CCE">
        <w:t xml:space="preserve"> post-Brexit</w:t>
      </w:r>
      <w:r w:rsidR="007F14E4">
        <w:t>.</w:t>
      </w:r>
      <w:r w:rsidR="00134F33">
        <w:t xml:space="preserve"> </w:t>
      </w:r>
      <w:r w:rsidR="007F14E4">
        <w:t>Members might wish to consider recommending COSLA developing such a position</w:t>
      </w:r>
      <w:r w:rsidR="00EE0486">
        <w:t xml:space="preserve"> and that this work is developed by one or more Local Authorities with an interest in fishery policy</w:t>
      </w:r>
      <w:r w:rsidR="007F14E4">
        <w:t>.</w:t>
      </w:r>
    </w:p>
    <w:p w14:paraId="0FB14CC7" w14:textId="640EBA99" w:rsidR="00834F64" w:rsidRDefault="00834F64" w:rsidP="00834F64">
      <w:pPr>
        <w:pStyle w:val="ListNumber"/>
        <w:numPr>
          <w:ilvl w:val="0"/>
          <w:numId w:val="0"/>
        </w:numPr>
      </w:pPr>
    </w:p>
    <w:p w14:paraId="0366A5FB" w14:textId="1023B8D9" w:rsidR="00EB5C63" w:rsidRPr="00EB5C63" w:rsidRDefault="00B0401F" w:rsidP="00EB5C63">
      <w:pPr>
        <w:pStyle w:val="ListNumber"/>
        <w:numPr>
          <w:ilvl w:val="0"/>
          <w:numId w:val="0"/>
        </w:numPr>
        <w:rPr>
          <w:b/>
        </w:rPr>
      </w:pPr>
      <w:r w:rsidRPr="00B0401F">
        <w:rPr>
          <w:b/>
        </w:rPr>
        <w:t xml:space="preserve">What is Changing? </w:t>
      </w:r>
    </w:p>
    <w:p w14:paraId="248174B9" w14:textId="56A2EB1A" w:rsidR="00701D3A" w:rsidRDefault="00810762" w:rsidP="00C6257F">
      <w:pPr>
        <w:pStyle w:val="ListNumber"/>
      </w:pPr>
      <w:r>
        <w:t xml:space="preserve">Under international law, Brexit will automatically transfer the rights and duties attached to its exclusive economic zone (EEZ) from the EU to the UK. </w:t>
      </w:r>
    </w:p>
    <w:p w14:paraId="32D9FFC3" w14:textId="4826519A" w:rsidR="00A72404" w:rsidRDefault="00A72404" w:rsidP="00A72404">
      <w:pPr>
        <w:pStyle w:val="ListNumber"/>
        <w:numPr>
          <w:ilvl w:val="0"/>
          <w:numId w:val="0"/>
        </w:numPr>
      </w:pPr>
    </w:p>
    <w:p w14:paraId="321D22B6" w14:textId="77777777" w:rsidR="00E11275" w:rsidRDefault="00810762" w:rsidP="0032121A">
      <w:pPr>
        <w:pStyle w:val="ListNumber"/>
      </w:pPr>
      <w:r w:rsidRPr="00810762">
        <w:t>Unless those rights and duties are</w:t>
      </w:r>
      <w:r>
        <w:t xml:space="preserve"> reassigned in law or practice to the EU, the Scottish fishing industry can reasonably expect to obtain (i) a greater share of fishing opportunities in UK waters, and (ii) the benefit of fisheries management powers reverting to the UK and, through devolution, to Scotland. </w:t>
      </w:r>
    </w:p>
    <w:p w14:paraId="0253FFA8" w14:textId="77777777" w:rsidR="00E11275" w:rsidRDefault="00E11275" w:rsidP="00E11275">
      <w:pPr>
        <w:pStyle w:val="ListNumber"/>
        <w:numPr>
          <w:ilvl w:val="0"/>
          <w:numId w:val="0"/>
        </w:numPr>
        <w:ind w:left="360"/>
      </w:pPr>
    </w:p>
    <w:p w14:paraId="235EBFF3" w14:textId="2F1C869E" w:rsidR="00E11275" w:rsidRDefault="00E11275" w:rsidP="0032121A">
      <w:pPr>
        <w:pStyle w:val="ListNumber"/>
      </w:pPr>
      <w:r>
        <w:t xml:space="preserve">Taken together, these two factors could raise employment and income across Scotland, both directly from fish catching and indirectly through distribution, processing and distribution. </w:t>
      </w:r>
    </w:p>
    <w:p w14:paraId="07C6585E" w14:textId="0C374EC9" w:rsidR="00701D3A" w:rsidRDefault="00E11275" w:rsidP="00834F64">
      <w:pPr>
        <w:pStyle w:val="ListNumber"/>
        <w:numPr>
          <w:ilvl w:val="0"/>
          <w:numId w:val="0"/>
        </w:numPr>
        <w:ind w:left="360" w:hanging="360"/>
      </w:pPr>
      <w:r>
        <w:t xml:space="preserve"> </w:t>
      </w:r>
      <w:r w:rsidR="00810762">
        <w:rPr>
          <w:u w:val="single"/>
        </w:rPr>
        <w:t xml:space="preserve"> </w:t>
      </w:r>
    </w:p>
    <w:p w14:paraId="62D8EC49" w14:textId="01899EA3" w:rsidR="00701D3A" w:rsidRDefault="0074587D" w:rsidP="00701D3A">
      <w:pPr>
        <w:pStyle w:val="ListNumber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Next S</w:t>
      </w:r>
      <w:r w:rsidR="00CC6975">
        <w:rPr>
          <w:b/>
        </w:rPr>
        <w:t>teps</w:t>
      </w:r>
    </w:p>
    <w:p w14:paraId="33D31A52" w14:textId="3E559303" w:rsidR="0032121A" w:rsidRDefault="00587CCE" w:rsidP="00D6081B">
      <w:pPr>
        <w:pStyle w:val="ListNumber"/>
        <w:numPr>
          <w:ilvl w:val="0"/>
          <w:numId w:val="1"/>
        </w:numPr>
      </w:pPr>
      <w:r>
        <w:t>COSLA does not have a current position on the role of local authorities in developing onshore infrastructure for the fishing industry.</w:t>
      </w:r>
      <w:r w:rsidR="0032121A">
        <w:t xml:space="preserve"> </w:t>
      </w:r>
      <w:r w:rsidR="008448E3">
        <w:t xml:space="preserve"> </w:t>
      </w:r>
    </w:p>
    <w:p w14:paraId="57AB1E34" w14:textId="77777777" w:rsidR="0032121A" w:rsidRDefault="0032121A" w:rsidP="0032121A">
      <w:pPr>
        <w:pStyle w:val="ListNumber"/>
        <w:numPr>
          <w:ilvl w:val="0"/>
          <w:numId w:val="0"/>
        </w:numPr>
        <w:ind w:left="360"/>
      </w:pPr>
    </w:p>
    <w:p w14:paraId="2B96E993" w14:textId="521B8846" w:rsidR="00FB0ADA" w:rsidRDefault="00587CCE" w:rsidP="00834F64">
      <w:pPr>
        <w:pStyle w:val="ListNumber"/>
        <w:numPr>
          <w:ilvl w:val="0"/>
          <w:numId w:val="1"/>
        </w:numPr>
      </w:pPr>
      <w:r>
        <w:t>As the potential benefits of Brexit to the Scottish fishing industry are likely to be limited in some areas by a lack of onshore infrastructure, members may wish to consider taking such a position.</w:t>
      </w:r>
      <w:r w:rsidR="00734D28">
        <w:t xml:space="preserve"> Some of the issue which will need to be considered are set out in Annex A to this report.</w:t>
      </w:r>
    </w:p>
    <w:p w14:paraId="3EA40430" w14:textId="3A197015" w:rsidR="0032121A" w:rsidRDefault="0032121A" w:rsidP="00134F33">
      <w:pPr>
        <w:pStyle w:val="ListNumber"/>
        <w:numPr>
          <w:ilvl w:val="0"/>
          <w:numId w:val="0"/>
        </w:numPr>
        <w:ind w:left="360"/>
        <w:rPr>
          <w:rFonts w:eastAsia="Calibri" w:cs="Arial"/>
          <w:b/>
          <w:szCs w:val="23"/>
        </w:rPr>
      </w:pPr>
    </w:p>
    <w:p w14:paraId="7CED9E02" w14:textId="1D009C64" w:rsidR="00EE0486" w:rsidRPr="00E11275" w:rsidRDefault="00EE0486" w:rsidP="00EE0486">
      <w:pPr>
        <w:pStyle w:val="ListNumber"/>
      </w:pPr>
      <w:r>
        <w:t>We welcome members view on this paper and whether the Board would w</w:t>
      </w:r>
      <w:r w:rsidR="00463753">
        <w:t>ish</w:t>
      </w:r>
      <w:r>
        <w:t xml:space="preserve"> further work to take place with the help of one or more Local Authorities. If this is supported a further report could be made to the Board later in the year. </w:t>
      </w:r>
      <w:r w:rsidR="00463753">
        <w:t>If the Board agrees to this, Shetland Islands Council has indicated that it is willing to develop this work further for a future meeting.</w:t>
      </w:r>
    </w:p>
    <w:p w14:paraId="7C198924" w14:textId="31056809" w:rsidR="00EC407C" w:rsidRDefault="00EC407C" w:rsidP="00734D28">
      <w:pPr>
        <w:pStyle w:val="ColourfulShadingAccent31"/>
        <w:tabs>
          <w:tab w:val="left" w:pos="1134"/>
        </w:tabs>
        <w:spacing w:before="60"/>
        <w:ind w:left="0"/>
        <w:rPr>
          <w:b/>
        </w:rPr>
      </w:pPr>
    </w:p>
    <w:p w14:paraId="2CE2AD49" w14:textId="176953B4" w:rsidR="006A6726" w:rsidRDefault="00834F64" w:rsidP="00734D28">
      <w:pPr>
        <w:pStyle w:val="ColourfulShadingAccent31"/>
        <w:tabs>
          <w:tab w:val="left" w:pos="1134"/>
        </w:tabs>
        <w:spacing w:before="60"/>
        <w:ind w:left="0"/>
        <w:jc w:val="both"/>
        <w:rPr>
          <w:b/>
        </w:rPr>
      </w:pPr>
      <w:r>
        <w:rPr>
          <w:b/>
        </w:rPr>
        <w:t>June 2018</w:t>
      </w:r>
    </w:p>
    <w:p w14:paraId="400DF03A" w14:textId="22252CBA" w:rsidR="0074587D" w:rsidRDefault="0074587D" w:rsidP="00EC407C">
      <w:pPr>
        <w:pStyle w:val="ColourfulShadingAccent31"/>
        <w:tabs>
          <w:tab w:val="left" w:pos="1134"/>
        </w:tabs>
        <w:spacing w:before="60"/>
        <w:rPr>
          <w:b/>
        </w:rPr>
      </w:pPr>
    </w:p>
    <w:p w14:paraId="6E6A4544" w14:textId="7859E5B7" w:rsidR="00EB5C63" w:rsidRDefault="00EB5C63">
      <w:pPr>
        <w:rPr>
          <w:b/>
        </w:rPr>
        <w:sectPr w:rsidR="00EB5C63" w:rsidSect="006D2695">
          <w:pgSz w:w="11907" w:h="16834"/>
          <w:pgMar w:top="1152" w:right="1022" w:bottom="720" w:left="1282" w:header="706" w:footer="706" w:gutter="0"/>
          <w:cols w:space="720"/>
          <w:docGrid w:linePitch="360"/>
        </w:sectPr>
      </w:pPr>
    </w:p>
    <w:p w14:paraId="5B100078" w14:textId="77D48228" w:rsidR="00EB5C63" w:rsidRDefault="00EB5C63" w:rsidP="00EB5C63">
      <w:pPr>
        <w:rPr>
          <w:b/>
        </w:rPr>
      </w:pPr>
      <w:r>
        <w:rPr>
          <w:b/>
        </w:rPr>
        <w:lastRenderedPageBreak/>
        <w:t>A</w:t>
      </w:r>
      <w:r w:rsidR="00734D28">
        <w:rPr>
          <w:b/>
        </w:rPr>
        <w:t>nnex</w:t>
      </w:r>
      <w:r>
        <w:rPr>
          <w:b/>
        </w:rPr>
        <w:t xml:space="preserve"> A </w:t>
      </w:r>
      <w:r w:rsidR="00EF5B1C">
        <w:rPr>
          <w:b/>
        </w:rPr>
        <w:t xml:space="preserve">- </w:t>
      </w:r>
      <w:r>
        <w:rPr>
          <w:b/>
        </w:rPr>
        <w:t>Background Information</w:t>
      </w:r>
    </w:p>
    <w:p w14:paraId="40F9FA13" w14:textId="77777777" w:rsidR="00EF5B1C" w:rsidRPr="00EB5C63" w:rsidRDefault="00EF5B1C" w:rsidP="00EB5C63">
      <w:pPr>
        <w:rPr>
          <w:b/>
        </w:rPr>
      </w:pPr>
    </w:p>
    <w:p w14:paraId="75128DFA" w14:textId="5B7EB385" w:rsidR="007F14E4" w:rsidRDefault="008448E3" w:rsidP="007F14E4">
      <w:pPr>
        <w:pStyle w:val="ListNumber"/>
        <w:numPr>
          <w:ilvl w:val="0"/>
          <w:numId w:val="0"/>
        </w:numPr>
        <w:rPr>
          <w:b/>
          <w:bCs/>
        </w:rPr>
      </w:pPr>
      <w:r>
        <w:t xml:space="preserve"> </w:t>
      </w:r>
    </w:p>
    <w:p w14:paraId="63DDA275" w14:textId="77777777" w:rsidR="007F14E4" w:rsidRPr="00E3255E" w:rsidRDefault="007F14E4" w:rsidP="007F14E4">
      <w:pPr>
        <w:pStyle w:val="Default"/>
        <w:jc w:val="both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1. Why Shetland’s perspective is useful</w:t>
      </w:r>
    </w:p>
    <w:p w14:paraId="48AE5F42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Shetland’s importance to Scottish and UK fishing industry (more fish landed in the islands than in England, Wales and NI combined, second-biggest port in UK after Peterhead)</w:t>
      </w:r>
    </w:p>
    <w:p w14:paraId="6489515F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Shetland’s economic dependence on fishing</w:t>
      </w:r>
    </w:p>
    <w:p w14:paraId="0303A705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 xml:space="preserve">A representative sample of entire Scottish industry, from pelagic to demersal fisheries, crabs &amp; lobsters, scallops etc. </w:t>
      </w:r>
    </w:p>
    <w:p w14:paraId="3E2B27CF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Scotland’s most successful U10m fleet</w:t>
      </w:r>
    </w:p>
    <w:p w14:paraId="18A30480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Overwhelmingly local owners &amp; crews, with high proportion of share fishermen</w:t>
      </w:r>
    </w:p>
    <w:p w14:paraId="40F053E1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Long-established (and at times critical) Council involvement in the industry.</w:t>
      </w:r>
    </w:p>
    <w:p w14:paraId="5ECEAD1D" w14:textId="77777777" w:rsidR="007F14E4" w:rsidRDefault="007F14E4" w:rsidP="007F14E4">
      <w:pPr>
        <w:pStyle w:val="Body"/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</w:p>
    <w:p w14:paraId="39D40B3A" w14:textId="77777777" w:rsidR="007F14E4" w:rsidRPr="00E3255E" w:rsidRDefault="007F14E4" w:rsidP="007F14E4">
      <w:pPr>
        <w:pStyle w:val="Default"/>
        <w:jc w:val="both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2. The size of the Brexit opportunity</w:t>
      </w:r>
    </w:p>
    <w:p w14:paraId="16BF73CF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 xml:space="preserve">UK vessels currently catch barely </w:t>
      </w:r>
      <w:proofErr w:type="gramStart"/>
      <w:r>
        <w:rPr>
          <w:rFonts w:ascii="Arial" w:eastAsia="Arial Unicode MS" w:hAnsi="Arial" w:cs="Arial"/>
          <w:sz w:val="23"/>
          <w:szCs w:val="23"/>
          <w:lang w:val="en-GB"/>
        </w:rPr>
        <w:t>a third of all</w:t>
      </w:r>
      <w:proofErr w:type="gramEnd"/>
      <w:r>
        <w:rPr>
          <w:rFonts w:ascii="Arial" w:eastAsia="Arial Unicode MS" w:hAnsi="Arial" w:cs="Arial"/>
          <w:sz w:val="23"/>
          <w:szCs w:val="23"/>
          <w:lang w:val="en-GB"/>
        </w:rPr>
        <w:t xml:space="preserve"> fish caught in UK waters</w:t>
      </w:r>
    </w:p>
    <w:p w14:paraId="49CA8778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Under international law, Brexit automatically confers the right to decide who catches what, where and when in UK waters</w:t>
      </w:r>
    </w:p>
    <w:p w14:paraId="79BBD411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Were the UK to catch as much in its waters as Norway catches in Norwegian waters, for example, the value of catches would theoretically increase by over £1 billion per year, with Scotland reaping most of that benefit</w:t>
      </w:r>
    </w:p>
    <w:p w14:paraId="35C38956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The devolution of fisheries management to Scotland could be expected to generate additional gains through more responsive management measures</w:t>
      </w:r>
    </w:p>
    <w:p w14:paraId="29787725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A revamped processing sector generates more jobs and value added, including in urban areas</w:t>
      </w:r>
    </w:p>
    <w:p w14:paraId="0D7F8430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Free and frictionless trade in seafood products is in the EU’s interest as well as the UK’s.</w:t>
      </w:r>
    </w:p>
    <w:p w14:paraId="6FFECC53" w14:textId="77777777" w:rsidR="007F14E4" w:rsidRDefault="007F14E4" w:rsidP="007F14E4">
      <w:pPr>
        <w:pStyle w:val="Default"/>
        <w:jc w:val="both"/>
        <w:rPr>
          <w:b/>
          <w:bCs/>
          <w:sz w:val="23"/>
          <w:szCs w:val="23"/>
          <w:lang w:val="en-GB"/>
        </w:rPr>
      </w:pPr>
    </w:p>
    <w:p w14:paraId="1CF17069" w14:textId="77777777" w:rsidR="007F14E4" w:rsidRPr="00E3255E" w:rsidRDefault="007F14E4" w:rsidP="007F14E4">
      <w:pPr>
        <w:pStyle w:val="Default"/>
        <w:jc w:val="both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3. How our communities can take advantage of this prospect</w:t>
      </w:r>
    </w:p>
    <w:p w14:paraId="757220F7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Shetland’s success shows that additional fish is not enough…</w:t>
      </w:r>
    </w:p>
    <w:p w14:paraId="3667A61B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 xml:space="preserve">Infrastructure </w:t>
      </w:r>
      <w:proofErr w:type="gramStart"/>
      <w:r>
        <w:rPr>
          <w:rFonts w:ascii="Arial" w:eastAsia="Arial Unicode MS" w:hAnsi="Arial" w:cs="Arial"/>
          <w:sz w:val="23"/>
          <w:szCs w:val="23"/>
          <w:lang w:val="en-GB"/>
        </w:rPr>
        <w:t>absolutely critical</w:t>
      </w:r>
      <w:proofErr w:type="gramEnd"/>
      <w:r>
        <w:rPr>
          <w:rFonts w:ascii="Arial" w:eastAsia="Arial Unicode MS" w:hAnsi="Arial" w:cs="Arial"/>
          <w:sz w:val="23"/>
          <w:szCs w:val="23"/>
          <w:lang w:val="en-GB"/>
        </w:rPr>
        <w:t>: ports, markets, distribution. Local authorities need to be involved</w:t>
      </w:r>
    </w:p>
    <w:p w14:paraId="415C35BF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Marine engineering needs critical mass</w:t>
      </w:r>
    </w:p>
    <w:p w14:paraId="0986B55C" w14:textId="77777777" w:rsidR="007F14E4" w:rsidRDefault="007F14E4" w:rsidP="007F14E4">
      <w:pPr>
        <w:pStyle w:val="Body"/>
        <w:numPr>
          <w:ilvl w:val="0"/>
          <w:numId w:val="45"/>
        </w:numPr>
        <w:spacing w:before="100" w:after="100" w:line="240" w:lineRule="auto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>Likely timescales.</w:t>
      </w:r>
    </w:p>
    <w:p w14:paraId="0FE83D27" w14:textId="77777777" w:rsidR="007F14E4" w:rsidRDefault="007F14E4" w:rsidP="007F14E4">
      <w:pPr>
        <w:pStyle w:val="Body"/>
        <w:spacing w:before="100" w:after="100" w:line="240" w:lineRule="auto"/>
        <w:ind w:left="360"/>
        <w:rPr>
          <w:rFonts w:ascii="Arial" w:eastAsia="Arial Unicode MS" w:hAnsi="Arial" w:cs="Arial"/>
          <w:sz w:val="23"/>
          <w:szCs w:val="23"/>
          <w:lang w:val="en-GB"/>
        </w:rPr>
      </w:pPr>
      <w:r>
        <w:rPr>
          <w:rFonts w:ascii="Arial" w:eastAsia="Arial Unicode MS" w:hAnsi="Arial" w:cs="Arial"/>
          <w:sz w:val="23"/>
          <w:szCs w:val="23"/>
          <w:lang w:val="en-GB"/>
        </w:rPr>
        <w:t xml:space="preserve">  </w:t>
      </w:r>
    </w:p>
    <w:p w14:paraId="0F5B43D7" w14:textId="77777777" w:rsidR="00EB5C63" w:rsidRDefault="00EB5C63" w:rsidP="00B048DE">
      <w:pPr>
        <w:pStyle w:val="ColourfulShadingAccent31"/>
        <w:tabs>
          <w:tab w:val="left" w:pos="1134"/>
        </w:tabs>
        <w:spacing w:before="60"/>
        <w:ind w:left="0"/>
        <w:rPr>
          <w:rFonts w:cs="Arial"/>
          <w:b/>
          <w:szCs w:val="23"/>
        </w:rPr>
      </w:pPr>
    </w:p>
    <w:p w14:paraId="6E3997EC" w14:textId="5B4E1F31" w:rsidR="00EB5C63" w:rsidRDefault="00EB5C63" w:rsidP="00B048DE">
      <w:pPr>
        <w:pStyle w:val="ColourfulShadingAccent31"/>
        <w:tabs>
          <w:tab w:val="left" w:pos="1134"/>
        </w:tabs>
        <w:spacing w:before="60"/>
        <w:ind w:left="0"/>
        <w:rPr>
          <w:rFonts w:cs="Arial"/>
          <w:b/>
          <w:szCs w:val="23"/>
        </w:rPr>
      </w:pPr>
    </w:p>
    <w:p w14:paraId="5F0F84D3" w14:textId="424BEA19" w:rsidR="00EB5C63" w:rsidRDefault="00EB5C63" w:rsidP="00B048DE">
      <w:pPr>
        <w:pStyle w:val="ColourfulShadingAccent31"/>
        <w:tabs>
          <w:tab w:val="left" w:pos="1134"/>
        </w:tabs>
        <w:spacing w:before="60"/>
        <w:ind w:left="0"/>
        <w:rPr>
          <w:rFonts w:cs="Arial"/>
          <w:b/>
          <w:szCs w:val="23"/>
        </w:rPr>
      </w:pPr>
    </w:p>
    <w:p w14:paraId="7560A376" w14:textId="0F638D10" w:rsidR="00EB5C63" w:rsidRDefault="00EB5C63" w:rsidP="00B048DE">
      <w:pPr>
        <w:pStyle w:val="ColourfulShadingAccent31"/>
        <w:tabs>
          <w:tab w:val="left" w:pos="1134"/>
        </w:tabs>
        <w:spacing w:before="60"/>
        <w:ind w:left="0"/>
        <w:rPr>
          <w:rFonts w:cs="Arial"/>
          <w:b/>
          <w:szCs w:val="23"/>
        </w:rPr>
      </w:pPr>
    </w:p>
    <w:p w14:paraId="670BF344" w14:textId="40997AFD" w:rsidR="00EB5C63" w:rsidRDefault="00EB5C63" w:rsidP="00B048DE">
      <w:pPr>
        <w:pStyle w:val="ColourfulShadingAccent31"/>
        <w:tabs>
          <w:tab w:val="left" w:pos="1134"/>
        </w:tabs>
        <w:spacing w:before="60"/>
        <w:ind w:left="0"/>
        <w:rPr>
          <w:rFonts w:cs="Arial"/>
          <w:b/>
          <w:szCs w:val="23"/>
        </w:rPr>
      </w:pPr>
    </w:p>
    <w:p w14:paraId="1B9F02FB" w14:textId="45914B33" w:rsidR="00725B61" w:rsidRDefault="00725B61" w:rsidP="00725B61">
      <w:pPr>
        <w:jc w:val="right"/>
      </w:pPr>
    </w:p>
    <w:p w14:paraId="3E422662" w14:textId="77777777" w:rsidR="00725B61" w:rsidRDefault="00725B61" w:rsidP="00725B61"/>
    <w:p w14:paraId="6FD94348" w14:textId="77777777" w:rsidR="00E411C0" w:rsidRDefault="008448E3" w:rsidP="00E411C0">
      <w:pPr>
        <w:pStyle w:val="Default"/>
        <w:jc w:val="both"/>
        <w:rPr>
          <w:b/>
          <w:bCs/>
        </w:rPr>
      </w:pPr>
      <w:r>
        <w:rPr>
          <w:b/>
        </w:rPr>
        <w:t xml:space="preserve"> </w:t>
      </w:r>
    </w:p>
    <w:sectPr w:rsidR="00E411C0" w:rsidSect="006D2695">
      <w:pgSz w:w="11907" w:h="16834"/>
      <w:pgMar w:top="1152" w:right="1022" w:bottom="720" w:left="1282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B1C7E" w14:textId="77777777" w:rsidR="00311C48" w:rsidRDefault="00311C48">
      <w:r>
        <w:separator/>
      </w:r>
    </w:p>
  </w:endnote>
  <w:endnote w:type="continuationSeparator" w:id="0">
    <w:p w14:paraId="64868829" w14:textId="77777777" w:rsidR="00311C48" w:rsidRDefault="00311C48">
      <w:r>
        <w:continuationSeparator/>
      </w:r>
    </w:p>
  </w:endnote>
  <w:endnote w:type="continuationNotice" w:id="1">
    <w:p w14:paraId="7B6A24DA" w14:textId="77777777" w:rsidR="00311C48" w:rsidRDefault="00311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N)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F4F1" w14:textId="77777777" w:rsidR="00C56C44" w:rsidRDefault="00C56C44">
    <w:pPr>
      <w:pStyle w:val="Footer"/>
      <w:rPr>
        <w:rFonts w:ascii="Univers (WN)" w:hAnsi="Univers (WN)"/>
        <w:sz w:val="16"/>
      </w:rPr>
    </w:pPr>
  </w:p>
  <w:p w14:paraId="4BE592D9" w14:textId="2817BF3C" w:rsidR="00C56C44" w:rsidRPr="006D2695" w:rsidRDefault="00C56C44" w:rsidP="006D2695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Page </w:t>
    </w:r>
    <w:r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PAGE </w:instrText>
    </w:r>
    <w:r>
      <w:rPr>
        <w:rFonts w:cs="Arial"/>
        <w:b/>
        <w:bCs/>
        <w:sz w:val="16"/>
        <w:szCs w:val="16"/>
      </w:rPr>
      <w:fldChar w:fldCharType="separate"/>
    </w:r>
    <w:r w:rsidR="004D67E1">
      <w:rPr>
        <w:rFonts w:cs="Arial"/>
        <w:b/>
        <w:bCs/>
        <w:noProof/>
        <w:sz w:val="16"/>
        <w:szCs w:val="16"/>
      </w:rPr>
      <w:t>3</w:t>
    </w:r>
    <w:r>
      <w:rPr>
        <w:rFonts w:cs="Arial"/>
        <w:b/>
        <w:bCs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NUMPAGES  </w:instrText>
    </w:r>
    <w:r>
      <w:rPr>
        <w:rFonts w:cs="Arial"/>
        <w:b/>
        <w:bCs/>
        <w:sz w:val="16"/>
        <w:szCs w:val="16"/>
      </w:rPr>
      <w:fldChar w:fldCharType="separate"/>
    </w:r>
    <w:r w:rsidR="004D67E1">
      <w:rPr>
        <w:rFonts w:cs="Arial"/>
        <w:b/>
        <w:bCs/>
        <w:noProof/>
        <w:sz w:val="16"/>
        <w:szCs w:val="16"/>
      </w:rPr>
      <w:t>3</w:t>
    </w:r>
    <w:r>
      <w:rPr>
        <w:rFonts w:cs="Arial"/>
        <w:b/>
        <w:bCs/>
        <w:sz w:val="16"/>
        <w:szCs w:val="16"/>
      </w:rPr>
      <w:fldChar w:fldCharType="end"/>
    </w:r>
  </w:p>
  <w:p w14:paraId="413F6BBE" w14:textId="77777777" w:rsidR="00C56C44" w:rsidRDefault="00C56C44">
    <w:pPr>
      <w:pStyle w:val="Footer"/>
      <w:rPr>
        <w:rFonts w:ascii="Univers (WN)" w:hAnsi="Univers (WN)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AD6F" w14:textId="77777777" w:rsidR="00C56C44" w:rsidRDefault="00C56C44">
    <w:pPr>
      <w:pStyle w:val="Footer"/>
      <w:spacing w:before="12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if </w:instrText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>="1"</w:instrText>
    </w:r>
    <w:r>
      <w:rPr>
        <w:sz w:val="16"/>
      </w:rPr>
      <w:fldChar w:fldCharType="begin"/>
    </w:r>
    <w:r>
      <w:rPr>
        <w:sz w:val="16"/>
      </w:rPr>
      <w:instrText xml:space="preserve">filename </w:instrText>
    </w:r>
    <w:r>
      <w:rPr>
        <w:sz w:val="16"/>
      </w:rPr>
      <w:fldChar w:fldCharType="separate"/>
    </w:r>
    <w:r>
      <w:rPr>
        <w:noProof/>
        <w:sz w:val="16"/>
      </w:rPr>
      <w:instrText>17-09-04 Item xx Crown Estate.doc</w:instrText>
    </w:r>
    <w:r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author </w:instrText>
    </w:r>
    <w:r>
      <w:rPr>
        <w:sz w:val="16"/>
      </w:rPr>
      <w:fldChar w:fldCharType="separate"/>
    </w:r>
    <w:r>
      <w:rPr>
        <w:sz w:val="16"/>
      </w:rPr>
      <w:instrText>cosla</w:instrText>
    </w:r>
    <w:r>
      <w:rPr>
        <w:sz w:val="16"/>
      </w:rPr>
      <w:fldChar w:fldCharType="end"/>
    </w:r>
    <w:r>
      <w:rPr>
        <w:sz w:val="16"/>
      </w:rPr>
      <w:instrText xml:space="preserve"> " "</w:instrText>
    </w:r>
    <w:r>
      <w:rPr>
        <w:sz w:val="16"/>
      </w:rPr>
      <w:fldChar w:fldCharType="separate"/>
    </w:r>
    <w:r>
      <w:rPr>
        <w:noProof/>
        <w:sz w:val="16"/>
      </w:rPr>
      <w:t>17-09-04 Item xx Crown Estate.doc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if </w:instrText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="1" </w:instrText>
    </w:r>
    <w:r>
      <w:rPr>
        <w:sz w:val="16"/>
      </w:rPr>
      <w:fldChar w:fldCharType="begin"/>
    </w:r>
    <w:r>
      <w:rPr>
        <w:sz w:val="16"/>
      </w:rPr>
      <w:instrText xml:space="preserve">revnum </w:instrText>
    </w:r>
    <w:r>
      <w:rPr>
        <w:sz w:val="16"/>
      </w:rPr>
      <w:fldChar w:fldCharType="separate"/>
    </w:r>
    <w:r>
      <w:rPr>
        <w:noProof/>
        <w:sz w:val="16"/>
      </w:rPr>
      <w:instrText>6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separate"/>
    </w:r>
    <w:r>
      <w:rPr>
        <w:noProof/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77D6" w14:textId="77777777" w:rsidR="00311C48" w:rsidRDefault="00311C48">
      <w:r>
        <w:separator/>
      </w:r>
    </w:p>
  </w:footnote>
  <w:footnote w:type="continuationSeparator" w:id="0">
    <w:p w14:paraId="601532F7" w14:textId="77777777" w:rsidR="00311C48" w:rsidRDefault="00311C48">
      <w:r>
        <w:continuationSeparator/>
      </w:r>
    </w:p>
  </w:footnote>
  <w:footnote w:type="continuationNotice" w:id="1">
    <w:p w14:paraId="4CA6E3A5" w14:textId="77777777" w:rsidR="00311C48" w:rsidRDefault="00311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5C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32822784"/>
    <w:lvl w:ilvl="0">
      <w:start w:val="1"/>
      <w:numFmt w:val="lowerRoman"/>
      <w:pStyle w:val="ListNumber2"/>
      <w:lvlText w:val="%1."/>
      <w:lvlJc w:val="righ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667289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324A1"/>
    <w:multiLevelType w:val="hybridMultilevel"/>
    <w:tmpl w:val="EC7C08EA"/>
    <w:lvl w:ilvl="0" w:tplc="F3605EEC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92114"/>
    <w:multiLevelType w:val="hybridMultilevel"/>
    <w:tmpl w:val="80141176"/>
    <w:lvl w:ilvl="0" w:tplc="A7389704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2416F"/>
    <w:multiLevelType w:val="hybridMultilevel"/>
    <w:tmpl w:val="E4C87C98"/>
    <w:lvl w:ilvl="0" w:tplc="E1F0378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F1A76"/>
    <w:multiLevelType w:val="hybridMultilevel"/>
    <w:tmpl w:val="CD107986"/>
    <w:lvl w:ilvl="0" w:tplc="0E58B69C">
      <w:start w:val="1"/>
      <w:numFmt w:val="bullet"/>
      <w:lvlRestart w:val="0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D071E6"/>
    <w:multiLevelType w:val="hybridMultilevel"/>
    <w:tmpl w:val="999C8062"/>
    <w:lvl w:ilvl="0" w:tplc="14E0317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D53C2"/>
    <w:multiLevelType w:val="hybridMultilevel"/>
    <w:tmpl w:val="70E6AAA6"/>
    <w:lvl w:ilvl="0" w:tplc="F72844C4">
      <w:start w:val="1"/>
      <w:numFmt w:val="lowerRoman"/>
      <w:lvlRestart w:val="0"/>
      <w:lvlText w:val="%1."/>
      <w:lvlJc w:val="right"/>
      <w:pPr>
        <w:tabs>
          <w:tab w:val="num" w:pos="1361"/>
        </w:tabs>
        <w:ind w:left="1361" w:hanging="358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CC4388"/>
    <w:multiLevelType w:val="hybridMultilevel"/>
    <w:tmpl w:val="F024508A"/>
    <w:lvl w:ilvl="0" w:tplc="68BAFEE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0447"/>
    <w:multiLevelType w:val="hybridMultilevel"/>
    <w:tmpl w:val="7A14E918"/>
    <w:lvl w:ilvl="0" w:tplc="206C4F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253C"/>
    <w:multiLevelType w:val="hybridMultilevel"/>
    <w:tmpl w:val="4DA2B788"/>
    <w:lvl w:ilvl="0" w:tplc="F320BD86">
      <w:start w:val="1"/>
      <w:numFmt w:val="bullet"/>
      <w:lvlRestart w:val="0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1D5321"/>
    <w:multiLevelType w:val="hybridMultilevel"/>
    <w:tmpl w:val="FC60B67E"/>
    <w:lvl w:ilvl="0" w:tplc="C96A8154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66CD"/>
    <w:multiLevelType w:val="hybridMultilevel"/>
    <w:tmpl w:val="17D0DA18"/>
    <w:lvl w:ilvl="0" w:tplc="6908CC6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4598F"/>
    <w:multiLevelType w:val="hybridMultilevel"/>
    <w:tmpl w:val="36D03700"/>
    <w:lvl w:ilvl="0" w:tplc="89B2E4E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58E3"/>
    <w:multiLevelType w:val="hybridMultilevel"/>
    <w:tmpl w:val="A3DCDE60"/>
    <w:lvl w:ilvl="0" w:tplc="BAD28B9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A3095"/>
    <w:multiLevelType w:val="hybridMultilevel"/>
    <w:tmpl w:val="05F87496"/>
    <w:lvl w:ilvl="0" w:tplc="019E453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0348F3"/>
    <w:multiLevelType w:val="hybridMultilevel"/>
    <w:tmpl w:val="ADBEE680"/>
    <w:lvl w:ilvl="0" w:tplc="4BB24B2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40175"/>
    <w:multiLevelType w:val="hybridMultilevel"/>
    <w:tmpl w:val="0466F76E"/>
    <w:lvl w:ilvl="0" w:tplc="9386070A">
      <w:start w:val="1"/>
      <w:numFmt w:val="bullet"/>
      <w:lvlRestart w:val="0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FD6C15"/>
    <w:multiLevelType w:val="hybridMultilevel"/>
    <w:tmpl w:val="717897AE"/>
    <w:lvl w:ilvl="0" w:tplc="FEE4282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632D"/>
    <w:multiLevelType w:val="hybridMultilevel"/>
    <w:tmpl w:val="E864E5A2"/>
    <w:lvl w:ilvl="0" w:tplc="5CFCCC6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C76C8"/>
    <w:multiLevelType w:val="hybridMultilevel"/>
    <w:tmpl w:val="3EA000AE"/>
    <w:lvl w:ilvl="0" w:tplc="79AA05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95559"/>
    <w:multiLevelType w:val="hybridMultilevel"/>
    <w:tmpl w:val="10000D78"/>
    <w:lvl w:ilvl="0" w:tplc="1A2EC7D8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056D2"/>
    <w:multiLevelType w:val="hybridMultilevel"/>
    <w:tmpl w:val="EE8E7A8A"/>
    <w:lvl w:ilvl="0" w:tplc="8A8ECF5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17EEA"/>
    <w:multiLevelType w:val="hybridMultilevel"/>
    <w:tmpl w:val="30B29EE8"/>
    <w:lvl w:ilvl="0" w:tplc="486EF18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643EA"/>
    <w:multiLevelType w:val="hybridMultilevel"/>
    <w:tmpl w:val="7854A846"/>
    <w:lvl w:ilvl="0" w:tplc="87229110">
      <w:start w:val="1"/>
      <w:numFmt w:val="lowerRoman"/>
      <w:lvlRestart w:val="0"/>
      <w:lvlText w:val="%1."/>
      <w:lvlJc w:val="right"/>
      <w:pPr>
        <w:tabs>
          <w:tab w:val="num" w:pos="1208"/>
        </w:tabs>
        <w:ind w:left="1208" w:hanging="358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E5031F"/>
    <w:multiLevelType w:val="hybridMultilevel"/>
    <w:tmpl w:val="C6F2D142"/>
    <w:lvl w:ilvl="0" w:tplc="D3749EE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56146"/>
    <w:multiLevelType w:val="hybridMultilevel"/>
    <w:tmpl w:val="B06A6BEE"/>
    <w:lvl w:ilvl="0" w:tplc="CF14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F102F"/>
    <w:multiLevelType w:val="hybridMultilevel"/>
    <w:tmpl w:val="2B9C48AC"/>
    <w:lvl w:ilvl="0" w:tplc="4190A47C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2F8"/>
    <w:multiLevelType w:val="hybridMultilevel"/>
    <w:tmpl w:val="55D08208"/>
    <w:lvl w:ilvl="0" w:tplc="E6FE2192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453E7"/>
    <w:multiLevelType w:val="hybridMultilevel"/>
    <w:tmpl w:val="F14EC476"/>
    <w:lvl w:ilvl="0" w:tplc="6396CB10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C279B"/>
    <w:multiLevelType w:val="hybridMultilevel"/>
    <w:tmpl w:val="2B9C48AC"/>
    <w:lvl w:ilvl="0" w:tplc="4190A47C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349E0"/>
    <w:multiLevelType w:val="hybridMultilevel"/>
    <w:tmpl w:val="BCC692D8"/>
    <w:lvl w:ilvl="0" w:tplc="7E783F2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BB8"/>
    <w:multiLevelType w:val="hybridMultilevel"/>
    <w:tmpl w:val="286A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56F83"/>
    <w:multiLevelType w:val="hybridMultilevel"/>
    <w:tmpl w:val="9C90C998"/>
    <w:lvl w:ilvl="0" w:tplc="592A0A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6115F"/>
    <w:multiLevelType w:val="hybridMultilevel"/>
    <w:tmpl w:val="156C5160"/>
    <w:lvl w:ilvl="0" w:tplc="BBFC44A4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9B5714"/>
    <w:multiLevelType w:val="hybridMultilevel"/>
    <w:tmpl w:val="A7921D10"/>
    <w:lvl w:ilvl="0" w:tplc="680E439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B5C6B"/>
    <w:multiLevelType w:val="hybridMultilevel"/>
    <w:tmpl w:val="62EC6FEC"/>
    <w:lvl w:ilvl="0" w:tplc="4DAC2716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46C78"/>
    <w:multiLevelType w:val="hybridMultilevel"/>
    <w:tmpl w:val="F7A2C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4B501C"/>
    <w:multiLevelType w:val="hybridMultilevel"/>
    <w:tmpl w:val="203C0D7E"/>
    <w:lvl w:ilvl="0" w:tplc="E0E44C4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914E4"/>
    <w:multiLevelType w:val="hybridMultilevel"/>
    <w:tmpl w:val="3934F978"/>
    <w:lvl w:ilvl="0" w:tplc="7EC6FA6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C3D5A"/>
    <w:multiLevelType w:val="hybridMultilevel"/>
    <w:tmpl w:val="F004606A"/>
    <w:lvl w:ilvl="0" w:tplc="ED0EC436">
      <w:start w:val="1"/>
      <w:numFmt w:val="lowerRoman"/>
      <w:lvlRestart w:val="0"/>
      <w:lvlText w:val="%1."/>
      <w:lvlJc w:val="right"/>
      <w:pPr>
        <w:tabs>
          <w:tab w:val="num" w:pos="641"/>
        </w:tabs>
        <w:ind w:left="641" w:hanging="358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C1981"/>
    <w:multiLevelType w:val="hybridMultilevel"/>
    <w:tmpl w:val="5F9650E2"/>
    <w:lvl w:ilvl="0" w:tplc="E790164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816D0"/>
    <w:multiLevelType w:val="hybridMultilevel"/>
    <w:tmpl w:val="0F78CBD6"/>
    <w:lvl w:ilvl="0" w:tplc="46D834C0">
      <w:start w:val="1"/>
      <w:numFmt w:val="lowerRoman"/>
      <w:lvlRestart w:val="0"/>
      <w:lvlText w:val="%1."/>
      <w:lvlJc w:val="righ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41"/>
  </w:num>
  <w:num w:numId="6">
    <w:abstractNumId w:val="33"/>
  </w:num>
  <w:num w:numId="7">
    <w:abstractNumId w:val="22"/>
  </w:num>
  <w:num w:numId="8">
    <w:abstractNumId w:val="30"/>
  </w:num>
  <w:num w:numId="9">
    <w:abstractNumId w:val="16"/>
  </w:num>
  <w:num w:numId="10">
    <w:abstractNumId w:val="25"/>
  </w:num>
  <w:num w:numId="11">
    <w:abstractNumId w:val="39"/>
  </w:num>
  <w:num w:numId="12">
    <w:abstractNumId w:val="0"/>
  </w:num>
  <w:num w:numId="13">
    <w:abstractNumId w:val="43"/>
  </w:num>
  <w:num w:numId="14">
    <w:abstractNumId w:val="23"/>
  </w:num>
  <w:num w:numId="15">
    <w:abstractNumId w:val="6"/>
  </w:num>
  <w:num w:numId="16">
    <w:abstractNumId w:val="18"/>
  </w:num>
  <w:num w:numId="17">
    <w:abstractNumId w:val="11"/>
  </w:num>
  <w:num w:numId="18">
    <w:abstractNumId w:val="37"/>
  </w:num>
  <w:num w:numId="19">
    <w:abstractNumId w:val="40"/>
  </w:num>
  <w:num w:numId="20">
    <w:abstractNumId w:val="20"/>
  </w:num>
  <w:num w:numId="21">
    <w:abstractNumId w:val="19"/>
  </w:num>
  <w:num w:numId="22">
    <w:abstractNumId w:val="15"/>
  </w:num>
  <w:num w:numId="23">
    <w:abstractNumId w:val="14"/>
  </w:num>
  <w:num w:numId="24">
    <w:abstractNumId w:val="17"/>
  </w:num>
  <w:num w:numId="25">
    <w:abstractNumId w:val="36"/>
  </w:num>
  <w:num w:numId="26">
    <w:abstractNumId w:val="42"/>
  </w:num>
  <w:num w:numId="27">
    <w:abstractNumId w:val="24"/>
  </w:num>
  <w:num w:numId="28">
    <w:abstractNumId w:val="28"/>
  </w:num>
  <w:num w:numId="29">
    <w:abstractNumId w:val="3"/>
  </w:num>
  <w:num w:numId="30">
    <w:abstractNumId w:val="27"/>
  </w:num>
  <w:num w:numId="31">
    <w:abstractNumId w:val="10"/>
  </w:num>
  <w:num w:numId="32">
    <w:abstractNumId w:val="7"/>
  </w:num>
  <w:num w:numId="33">
    <w:abstractNumId w:val="26"/>
  </w:num>
  <w:num w:numId="34">
    <w:abstractNumId w:val="12"/>
  </w:num>
  <w:num w:numId="35">
    <w:abstractNumId w:val="2"/>
    <w:lvlOverride w:ilvl="0">
      <w:startOverride w:val="1"/>
    </w:lvlOverride>
  </w:num>
  <w:num w:numId="36">
    <w:abstractNumId w:val="31"/>
  </w:num>
  <w:num w:numId="37">
    <w:abstractNumId w:val="29"/>
  </w:num>
  <w:num w:numId="38">
    <w:abstractNumId w:val="4"/>
  </w:num>
  <w:num w:numId="39">
    <w:abstractNumId w:val="8"/>
  </w:num>
  <w:num w:numId="40">
    <w:abstractNumId w:val="5"/>
  </w:num>
  <w:num w:numId="41">
    <w:abstractNumId w:val="13"/>
  </w:num>
  <w:num w:numId="42">
    <w:abstractNumId w:val="34"/>
  </w:num>
  <w:num w:numId="43">
    <w:abstractNumId w:val="21"/>
  </w:num>
  <w:num w:numId="44">
    <w:abstractNumId w:val="32"/>
  </w:num>
  <w:num w:numId="45">
    <w:abstractNumId w:val="38"/>
  </w:num>
  <w:num w:numId="46">
    <w:abstractNumId w:val="2"/>
  </w:num>
  <w:num w:numId="47">
    <w:abstractNumId w:val="2"/>
  </w:num>
  <w:num w:numId="48">
    <w:abstractNumId w:val="3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E"/>
    <w:rsid w:val="00000E11"/>
    <w:rsid w:val="000035AE"/>
    <w:rsid w:val="000039D9"/>
    <w:rsid w:val="00016153"/>
    <w:rsid w:val="000211B5"/>
    <w:rsid w:val="000279C9"/>
    <w:rsid w:val="00041110"/>
    <w:rsid w:val="000519B7"/>
    <w:rsid w:val="00057F48"/>
    <w:rsid w:val="00061FB2"/>
    <w:rsid w:val="0006237F"/>
    <w:rsid w:val="00071298"/>
    <w:rsid w:val="00076A7D"/>
    <w:rsid w:val="00077EC5"/>
    <w:rsid w:val="000807B9"/>
    <w:rsid w:val="000818CC"/>
    <w:rsid w:val="00081A13"/>
    <w:rsid w:val="00084F4E"/>
    <w:rsid w:val="00086FBA"/>
    <w:rsid w:val="0009082E"/>
    <w:rsid w:val="00097E4F"/>
    <w:rsid w:val="000A556A"/>
    <w:rsid w:val="000B4202"/>
    <w:rsid w:val="000C3BA7"/>
    <w:rsid w:val="000D3C5F"/>
    <w:rsid w:val="000D4611"/>
    <w:rsid w:val="000D6553"/>
    <w:rsid w:val="000E1674"/>
    <w:rsid w:val="000E3106"/>
    <w:rsid w:val="000F2F92"/>
    <w:rsid w:val="000F40D9"/>
    <w:rsid w:val="000F43D2"/>
    <w:rsid w:val="00102DA7"/>
    <w:rsid w:val="0010690A"/>
    <w:rsid w:val="00113D91"/>
    <w:rsid w:val="001164ED"/>
    <w:rsid w:val="00123A0F"/>
    <w:rsid w:val="001332B6"/>
    <w:rsid w:val="00134F33"/>
    <w:rsid w:val="00136ABC"/>
    <w:rsid w:val="001414BF"/>
    <w:rsid w:val="00142EFD"/>
    <w:rsid w:val="0015197B"/>
    <w:rsid w:val="001525C1"/>
    <w:rsid w:val="001529A2"/>
    <w:rsid w:val="00154943"/>
    <w:rsid w:val="0017117A"/>
    <w:rsid w:val="00173FDF"/>
    <w:rsid w:val="0017581C"/>
    <w:rsid w:val="001843F5"/>
    <w:rsid w:val="001855B2"/>
    <w:rsid w:val="00187643"/>
    <w:rsid w:val="0019054D"/>
    <w:rsid w:val="0019509A"/>
    <w:rsid w:val="001A3E99"/>
    <w:rsid w:val="001A4B6B"/>
    <w:rsid w:val="001A798F"/>
    <w:rsid w:val="001B0DE7"/>
    <w:rsid w:val="001C18AA"/>
    <w:rsid w:val="001C4BF2"/>
    <w:rsid w:val="001C558F"/>
    <w:rsid w:val="001D6604"/>
    <w:rsid w:val="001D777A"/>
    <w:rsid w:val="001E4F82"/>
    <w:rsid w:val="001E6398"/>
    <w:rsid w:val="001F027D"/>
    <w:rsid w:val="001F2C9A"/>
    <w:rsid w:val="001F314C"/>
    <w:rsid w:val="001F5DD3"/>
    <w:rsid w:val="0020026C"/>
    <w:rsid w:val="002052C2"/>
    <w:rsid w:val="00217632"/>
    <w:rsid w:val="002176D1"/>
    <w:rsid w:val="00220137"/>
    <w:rsid w:val="002226B9"/>
    <w:rsid w:val="00223FD1"/>
    <w:rsid w:val="00224255"/>
    <w:rsid w:val="002242DB"/>
    <w:rsid w:val="00225A00"/>
    <w:rsid w:val="00225A3D"/>
    <w:rsid w:val="00236055"/>
    <w:rsid w:val="00236B61"/>
    <w:rsid w:val="00242168"/>
    <w:rsid w:val="002431A1"/>
    <w:rsid w:val="002512BB"/>
    <w:rsid w:val="002525C7"/>
    <w:rsid w:val="00252C9F"/>
    <w:rsid w:val="0025595A"/>
    <w:rsid w:val="0026197E"/>
    <w:rsid w:val="0026371F"/>
    <w:rsid w:val="0027154D"/>
    <w:rsid w:val="00275C45"/>
    <w:rsid w:val="00282436"/>
    <w:rsid w:val="00284B77"/>
    <w:rsid w:val="00285B06"/>
    <w:rsid w:val="00290BE8"/>
    <w:rsid w:val="00294791"/>
    <w:rsid w:val="002A5047"/>
    <w:rsid w:val="002A6564"/>
    <w:rsid w:val="002B2964"/>
    <w:rsid w:val="002B6525"/>
    <w:rsid w:val="002C2F78"/>
    <w:rsid w:val="002D1174"/>
    <w:rsid w:val="002D6AE9"/>
    <w:rsid w:val="002E541D"/>
    <w:rsid w:val="002F3CEE"/>
    <w:rsid w:val="003001BA"/>
    <w:rsid w:val="00300F09"/>
    <w:rsid w:val="0030517F"/>
    <w:rsid w:val="003067C0"/>
    <w:rsid w:val="00311C48"/>
    <w:rsid w:val="003206B4"/>
    <w:rsid w:val="0032121A"/>
    <w:rsid w:val="00327C92"/>
    <w:rsid w:val="00330635"/>
    <w:rsid w:val="00335EA0"/>
    <w:rsid w:val="003558C8"/>
    <w:rsid w:val="00356A55"/>
    <w:rsid w:val="0035769B"/>
    <w:rsid w:val="003577AA"/>
    <w:rsid w:val="003707A0"/>
    <w:rsid w:val="0037324B"/>
    <w:rsid w:val="0037479C"/>
    <w:rsid w:val="003906F0"/>
    <w:rsid w:val="00394638"/>
    <w:rsid w:val="003A2702"/>
    <w:rsid w:val="003A4248"/>
    <w:rsid w:val="003A4E0B"/>
    <w:rsid w:val="003B0B9B"/>
    <w:rsid w:val="003B27A6"/>
    <w:rsid w:val="003B2E84"/>
    <w:rsid w:val="003B2E96"/>
    <w:rsid w:val="003C00F2"/>
    <w:rsid w:val="003D1324"/>
    <w:rsid w:val="003D139C"/>
    <w:rsid w:val="003D146A"/>
    <w:rsid w:val="003D1C05"/>
    <w:rsid w:val="003E4F30"/>
    <w:rsid w:val="003E6897"/>
    <w:rsid w:val="003F44C1"/>
    <w:rsid w:val="00402004"/>
    <w:rsid w:val="004029A6"/>
    <w:rsid w:val="0040472E"/>
    <w:rsid w:val="004106C4"/>
    <w:rsid w:val="004249E6"/>
    <w:rsid w:val="004254A3"/>
    <w:rsid w:val="004272BF"/>
    <w:rsid w:val="00430011"/>
    <w:rsid w:val="004348CC"/>
    <w:rsid w:val="004362A2"/>
    <w:rsid w:val="004362EE"/>
    <w:rsid w:val="0045083A"/>
    <w:rsid w:val="00462F34"/>
    <w:rsid w:val="00463753"/>
    <w:rsid w:val="004645AC"/>
    <w:rsid w:val="00466B7C"/>
    <w:rsid w:val="00467D06"/>
    <w:rsid w:val="00473938"/>
    <w:rsid w:val="00480183"/>
    <w:rsid w:val="0048106A"/>
    <w:rsid w:val="00484C20"/>
    <w:rsid w:val="004857CE"/>
    <w:rsid w:val="0048704A"/>
    <w:rsid w:val="004A00BD"/>
    <w:rsid w:val="004A17FB"/>
    <w:rsid w:val="004A208B"/>
    <w:rsid w:val="004A7044"/>
    <w:rsid w:val="004B2216"/>
    <w:rsid w:val="004B32DB"/>
    <w:rsid w:val="004B6B05"/>
    <w:rsid w:val="004B7753"/>
    <w:rsid w:val="004B7FF9"/>
    <w:rsid w:val="004C3991"/>
    <w:rsid w:val="004C4439"/>
    <w:rsid w:val="004C5A19"/>
    <w:rsid w:val="004D67E1"/>
    <w:rsid w:val="004D6AB4"/>
    <w:rsid w:val="004E7C20"/>
    <w:rsid w:val="0050535B"/>
    <w:rsid w:val="005105D4"/>
    <w:rsid w:val="00526866"/>
    <w:rsid w:val="005309DD"/>
    <w:rsid w:val="0053298A"/>
    <w:rsid w:val="00532AB1"/>
    <w:rsid w:val="005425FC"/>
    <w:rsid w:val="005506AE"/>
    <w:rsid w:val="00552D80"/>
    <w:rsid w:val="00556B26"/>
    <w:rsid w:val="00556DC1"/>
    <w:rsid w:val="00577D33"/>
    <w:rsid w:val="00586FBD"/>
    <w:rsid w:val="00587015"/>
    <w:rsid w:val="00587CCE"/>
    <w:rsid w:val="00591AE2"/>
    <w:rsid w:val="0059273F"/>
    <w:rsid w:val="005A34DA"/>
    <w:rsid w:val="005B1477"/>
    <w:rsid w:val="005B568B"/>
    <w:rsid w:val="005B72ED"/>
    <w:rsid w:val="005C6C0E"/>
    <w:rsid w:val="005C77E3"/>
    <w:rsid w:val="005D4820"/>
    <w:rsid w:val="005D56A0"/>
    <w:rsid w:val="005D6AC3"/>
    <w:rsid w:val="005D7A6E"/>
    <w:rsid w:val="005D7DDC"/>
    <w:rsid w:val="005E2009"/>
    <w:rsid w:val="005E5ACA"/>
    <w:rsid w:val="005E7D8E"/>
    <w:rsid w:val="005F488E"/>
    <w:rsid w:val="00603DCC"/>
    <w:rsid w:val="00607B5B"/>
    <w:rsid w:val="00610B35"/>
    <w:rsid w:val="00623449"/>
    <w:rsid w:val="00623C61"/>
    <w:rsid w:val="00646628"/>
    <w:rsid w:val="006761CB"/>
    <w:rsid w:val="00680ED2"/>
    <w:rsid w:val="006813C9"/>
    <w:rsid w:val="006849E5"/>
    <w:rsid w:val="0068514F"/>
    <w:rsid w:val="00685E40"/>
    <w:rsid w:val="006930A0"/>
    <w:rsid w:val="006A1CEE"/>
    <w:rsid w:val="006A2B92"/>
    <w:rsid w:val="006A3415"/>
    <w:rsid w:val="006A42C2"/>
    <w:rsid w:val="006A44D8"/>
    <w:rsid w:val="006A50B7"/>
    <w:rsid w:val="006A6726"/>
    <w:rsid w:val="006B535A"/>
    <w:rsid w:val="006C302A"/>
    <w:rsid w:val="006C4393"/>
    <w:rsid w:val="006C51AD"/>
    <w:rsid w:val="006D2695"/>
    <w:rsid w:val="006D27A0"/>
    <w:rsid w:val="006D4AEB"/>
    <w:rsid w:val="006D64E1"/>
    <w:rsid w:val="006E3B1D"/>
    <w:rsid w:val="006E55B0"/>
    <w:rsid w:val="00701D3A"/>
    <w:rsid w:val="00702107"/>
    <w:rsid w:val="007101B3"/>
    <w:rsid w:val="00712512"/>
    <w:rsid w:val="00713A75"/>
    <w:rsid w:val="00714EFE"/>
    <w:rsid w:val="00721461"/>
    <w:rsid w:val="00725B61"/>
    <w:rsid w:val="007273F8"/>
    <w:rsid w:val="00727F5B"/>
    <w:rsid w:val="00734D28"/>
    <w:rsid w:val="007352B9"/>
    <w:rsid w:val="00742B43"/>
    <w:rsid w:val="00743512"/>
    <w:rsid w:val="0074587D"/>
    <w:rsid w:val="00747E60"/>
    <w:rsid w:val="00762C11"/>
    <w:rsid w:val="0076492E"/>
    <w:rsid w:val="00776B89"/>
    <w:rsid w:val="0077770C"/>
    <w:rsid w:val="00780F35"/>
    <w:rsid w:val="00791090"/>
    <w:rsid w:val="007A158A"/>
    <w:rsid w:val="007A6434"/>
    <w:rsid w:val="007C2D10"/>
    <w:rsid w:val="007D108D"/>
    <w:rsid w:val="007D1F10"/>
    <w:rsid w:val="007E1909"/>
    <w:rsid w:val="007E3774"/>
    <w:rsid w:val="007F14E4"/>
    <w:rsid w:val="008023DC"/>
    <w:rsid w:val="008059B7"/>
    <w:rsid w:val="00810762"/>
    <w:rsid w:val="00811412"/>
    <w:rsid w:val="00811E3A"/>
    <w:rsid w:val="00834F64"/>
    <w:rsid w:val="00834FE7"/>
    <w:rsid w:val="00835143"/>
    <w:rsid w:val="0083618F"/>
    <w:rsid w:val="00837FBB"/>
    <w:rsid w:val="008448E3"/>
    <w:rsid w:val="00846BBF"/>
    <w:rsid w:val="00853ADB"/>
    <w:rsid w:val="00864DD9"/>
    <w:rsid w:val="00870027"/>
    <w:rsid w:val="0087390A"/>
    <w:rsid w:val="0089399C"/>
    <w:rsid w:val="008A1AF9"/>
    <w:rsid w:val="008A21D3"/>
    <w:rsid w:val="008A5184"/>
    <w:rsid w:val="008B1760"/>
    <w:rsid w:val="008B39E5"/>
    <w:rsid w:val="008B5014"/>
    <w:rsid w:val="008B55C4"/>
    <w:rsid w:val="008B5C6E"/>
    <w:rsid w:val="008C3945"/>
    <w:rsid w:val="008D4A2B"/>
    <w:rsid w:val="008D79B6"/>
    <w:rsid w:val="008E49C7"/>
    <w:rsid w:val="008E4AF9"/>
    <w:rsid w:val="008E5020"/>
    <w:rsid w:val="008E658D"/>
    <w:rsid w:val="008F73D4"/>
    <w:rsid w:val="0090061F"/>
    <w:rsid w:val="009017DF"/>
    <w:rsid w:val="009018EE"/>
    <w:rsid w:val="00902C7C"/>
    <w:rsid w:val="00910873"/>
    <w:rsid w:val="009135EC"/>
    <w:rsid w:val="00921D58"/>
    <w:rsid w:val="00925578"/>
    <w:rsid w:val="00936E44"/>
    <w:rsid w:val="00937AF8"/>
    <w:rsid w:val="00944974"/>
    <w:rsid w:val="0095666E"/>
    <w:rsid w:val="00967A7D"/>
    <w:rsid w:val="00970394"/>
    <w:rsid w:val="0097713A"/>
    <w:rsid w:val="009A0156"/>
    <w:rsid w:val="009A1D0D"/>
    <w:rsid w:val="009C189D"/>
    <w:rsid w:val="009D20D7"/>
    <w:rsid w:val="009D4462"/>
    <w:rsid w:val="009D6277"/>
    <w:rsid w:val="009F2ACB"/>
    <w:rsid w:val="00A07E92"/>
    <w:rsid w:val="00A1624A"/>
    <w:rsid w:val="00A22576"/>
    <w:rsid w:val="00A5639D"/>
    <w:rsid w:val="00A66C0B"/>
    <w:rsid w:val="00A715D0"/>
    <w:rsid w:val="00A72404"/>
    <w:rsid w:val="00A73013"/>
    <w:rsid w:val="00A81F38"/>
    <w:rsid w:val="00A84D0A"/>
    <w:rsid w:val="00A96ACB"/>
    <w:rsid w:val="00AA0B8D"/>
    <w:rsid w:val="00AA6101"/>
    <w:rsid w:val="00AB2D67"/>
    <w:rsid w:val="00AB5619"/>
    <w:rsid w:val="00AB581C"/>
    <w:rsid w:val="00AC46A5"/>
    <w:rsid w:val="00AC47BC"/>
    <w:rsid w:val="00AC683D"/>
    <w:rsid w:val="00AD2873"/>
    <w:rsid w:val="00AE0FBE"/>
    <w:rsid w:val="00AF101F"/>
    <w:rsid w:val="00AF54EF"/>
    <w:rsid w:val="00AF5F60"/>
    <w:rsid w:val="00AF6B91"/>
    <w:rsid w:val="00AF7956"/>
    <w:rsid w:val="00B0401F"/>
    <w:rsid w:val="00B048DE"/>
    <w:rsid w:val="00B069B0"/>
    <w:rsid w:val="00B12E1D"/>
    <w:rsid w:val="00B23934"/>
    <w:rsid w:val="00B23B17"/>
    <w:rsid w:val="00B261D0"/>
    <w:rsid w:val="00B27A1C"/>
    <w:rsid w:val="00B329A8"/>
    <w:rsid w:val="00B35E77"/>
    <w:rsid w:val="00B36EB3"/>
    <w:rsid w:val="00B474E8"/>
    <w:rsid w:val="00B63D5C"/>
    <w:rsid w:val="00B73742"/>
    <w:rsid w:val="00B77081"/>
    <w:rsid w:val="00B828C7"/>
    <w:rsid w:val="00B8598B"/>
    <w:rsid w:val="00B8758A"/>
    <w:rsid w:val="00B90F7C"/>
    <w:rsid w:val="00B92BCC"/>
    <w:rsid w:val="00B94141"/>
    <w:rsid w:val="00B948EB"/>
    <w:rsid w:val="00BA2642"/>
    <w:rsid w:val="00BB3651"/>
    <w:rsid w:val="00BC4C1C"/>
    <w:rsid w:val="00BC53E6"/>
    <w:rsid w:val="00BC60EF"/>
    <w:rsid w:val="00BD009F"/>
    <w:rsid w:val="00BD02C5"/>
    <w:rsid w:val="00BE26BE"/>
    <w:rsid w:val="00BE5E47"/>
    <w:rsid w:val="00BF25D6"/>
    <w:rsid w:val="00BF4510"/>
    <w:rsid w:val="00BF490B"/>
    <w:rsid w:val="00C02F37"/>
    <w:rsid w:val="00C0713B"/>
    <w:rsid w:val="00C07974"/>
    <w:rsid w:val="00C108DB"/>
    <w:rsid w:val="00C11F91"/>
    <w:rsid w:val="00C24ACC"/>
    <w:rsid w:val="00C26DEE"/>
    <w:rsid w:val="00C421A8"/>
    <w:rsid w:val="00C43A4B"/>
    <w:rsid w:val="00C50C66"/>
    <w:rsid w:val="00C56C44"/>
    <w:rsid w:val="00C6257F"/>
    <w:rsid w:val="00C7055D"/>
    <w:rsid w:val="00C74CBF"/>
    <w:rsid w:val="00C74DD5"/>
    <w:rsid w:val="00C74E69"/>
    <w:rsid w:val="00C75217"/>
    <w:rsid w:val="00C84866"/>
    <w:rsid w:val="00C84A9B"/>
    <w:rsid w:val="00C84AE3"/>
    <w:rsid w:val="00C97BD1"/>
    <w:rsid w:val="00CA4F09"/>
    <w:rsid w:val="00CB4F2A"/>
    <w:rsid w:val="00CB5B61"/>
    <w:rsid w:val="00CC15AE"/>
    <w:rsid w:val="00CC68D0"/>
    <w:rsid w:val="00CC6975"/>
    <w:rsid w:val="00CC7990"/>
    <w:rsid w:val="00CD24A5"/>
    <w:rsid w:val="00CE0068"/>
    <w:rsid w:val="00CE2C40"/>
    <w:rsid w:val="00CE395C"/>
    <w:rsid w:val="00CE4381"/>
    <w:rsid w:val="00CE71AC"/>
    <w:rsid w:val="00CF175C"/>
    <w:rsid w:val="00CF1D2C"/>
    <w:rsid w:val="00CF4AC6"/>
    <w:rsid w:val="00CF4DB4"/>
    <w:rsid w:val="00CF5CCD"/>
    <w:rsid w:val="00CF71BC"/>
    <w:rsid w:val="00CF748E"/>
    <w:rsid w:val="00D04468"/>
    <w:rsid w:val="00D070B8"/>
    <w:rsid w:val="00D1007F"/>
    <w:rsid w:val="00D10AD4"/>
    <w:rsid w:val="00D120EC"/>
    <w:rsid w:val="00D13513"/>
    <w:rsid w:val="00D211E4"/>
    <w:rsid w:val="00D25760"/>
    <w:rsid w:val="00D263DF"/>
    <w:rsid w:val="00D36032"/>
    <w:rsid w:val="00D465EA"/>
    <w:rsid w:val="00D46C89"/>
    <w:rsid w:val="00D53A72"/>
    <w:rsid w:val="00D54161"/>
    <w:rsid w:val="00D6081B"/>
    <w:rsid w:val="00D60E3B"/>
    <w:rsid w:val="00D62F06"/>
    <w:rsid w:val="00D66098"/>
    <w:rsid w:val="00D66E4E"/>
    <w:rsid w:val="00D775FC"/>
    <w:rsid w:val="00D816A0"/>
    <w:rsid w:val="00D86A2C"/>
    <w:rsid w:val="00D94A87"/>
    <w:rsid w:val="00DA45E8"/>
    <w:rsid w:val="00DA52B1"/>
    <w:rsid w:val="00DB215C"/>
    <w:rsid w:val="00DB27B9"/>
    <w:rsid w:val="00DB4B23"/>
    <w:rsid w:val="00DC1DFA"/>
    <w:rsid w:val="00DC2FFC"/>
    <w:rsid w:val="00DC4D15"/>
    <w:rsid w:val="00DD4D9E"/>
    <w:rsid w:val="00DE1772"/>
    <w:rsid w:val="00DE27C2"/>
    <w:rsid w:val="00DE5E74"/>
    <w:rsid w:val="00DF0C0E"/>
    <w:rsid w:val="00DF13EC"/>
    <w:rsid w:val="00DF4D25"/>
    <w:rsid w:val="00E038ED"/>
    <w:rsid w:val="00E04055"/>
    <w:rsid w:val="00E110B7"/>
    <w:rsid w:val="00E11275"/>
    <w:rsid w:val="00E151C4"/>
    <w:rsid w:val="00E17AEE"/>
    <w:rsid w:val="00E2442B"/>
    <w:rsid w:val="00E244AD"/>
    <w:rsid w:val="00E25ED8"/>
    <w:rsid w:val="00E3169E"/>
    <w:rsid w:val="00E32015"/>
    <w:rsid w:val="00E33570"/>
    <w:rsid w:val="00E33A2B"/>
    <w:rsid w:val="00E34AFE"/>
    <w:rsid w:val="00E3775D"/>
    <w:rsid w:val="00E411C0"/>
    <w:rsid w:val="00E4136A"/>
    <w:rsid w:val="00E45AB5"/>
    <w:rsid w:val="00E4672D"/>
    <w:rsid w:val="00E46FB1"/>
    <w:rsid w:val="00E50589"/>
    <w:rsid w:val="00E72F65"/>
    <w:rsid w:val="00E7408B"/>
    <w:rsid w:val="00E8218C"/>
    <w:rsid w:val="00E8545D"/>
    <w:rsid w:val="00E94321"/>
    <w:rsid w:val="00EA7812"/>
    <w:rsid w:val="00EB009C"/>
    <w:rsid w:val="00EB13EE"/>
    <w:rsid w:val="00EB43D5"/>
    <w:rsid w:val="00EB597F"/>
    <w:rsid w:val="00EB5C63"/>
    <w:rsid w:val="00EC407C"/>
    <w:rsid w:val="00EE0486"/>
    <w:rsid w:val="00EE1D60"/>
    <w:rsid w:val="00EE246F"/>
    <w:rsid w:val="00EE5BAC"/>
    <w:rsid w:val="00EF1B3D"/>
    <w:rsid w:val="00EF5B1C"/>
    <w:rsid w:val="00EF5CE5"/>
    <w:rsid w:val="00EF66CB"/>
    <w:rsid w:val="00EF6E47"/>
    <w:rsid w:val="00F00724"/>
    <w:rsid w:val="00F01775"/>
    <w:rsid w:val="00F1165E"/>
    <w:rsid w:val="00F13A0F"/>
    <w:rsid w:val="00F20E88"/>
    <w:rsid w:val="00F30826"/>
    <w:rsid w:val="00F3556E"/>
    <w:rsid w:val="00F35F7B"/>
    <w:rsid w:val="00F375DA"/>
    <w:rsid w:val="00F4159A"/>
    <w:rsid w:val="00F4567D"/>
    <w:rsid w:val="00F510BE"/>
    <w:rsid w:val="00F52219"/>
    <w:rsid w:val="00F53C99"/>
    <w:rsid w:val="00F61970"/>
    <w:rsid w:val="00F63DBD"/>
    <w:rsid w:val="00F6438B"/>
    <w:rsid w:val="00F67595"/>
    <w:rsid w:val="00F67A39"/>
    <w:rsid w:val="00F711BC"/>
    <w:rsid w:val="00F76D86"/>
    <w:rsid w:val="00F8365C"/>
    <w:rsid w:val="00F83A0B"/>
    <w:rsid w:val="00F93E1E"/>
    <w:rsid w:val="00F93E29"/>
    <w:rsid w:val="00FA37FA"/>
    <w:rsid w:val="00FA41FE"/>
    <w:rsid w:val="00FB0ADA"/>
    <w:rsid w:val="00FB299F"/>
    <w:rsid w:val="00FB3E67"/>
    <w:rsid w:val="00FB53B5"/>
    <w:rsid w:val="00FB61D5"/>
    <w:rsid w:val="00FC6776"/>
    <w:rsid w:val="00FE0807"/>
    <w:rsid w:val="00FF1225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6054843"/>
  <w15:docId w15:val="{EF82D418-6C15-4D76-9CA5-A79A056D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407C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8D4A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D4A2B"/>
    <w:pPr>
      <w:keepNext/>
      <w:ind w:right="57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4A2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D4A2B"/>
    <w:pPr>
      <w:tabs>
        <w:tab w:val="center" w:pos="4819"/>
        <w:tab w:val="right" w:pos="9071"/>
      </w:tabs>
    </w:pPr>
  </w:style>
  <w:style w:type="paragraph" w:customStyle="1" w:styleId="indent">
    <w:name w:val="indent"/>
    <w:basedOn w:val="Normal"/>
    <w:rsid w:val="008D4A2B"/>
    <w:pPr>
      <w:ind w:left="720" w:hanging="720"/>
    </w:pPr>
  </w:style>
  <w:style w:type="paragraph" w:customStyle="1" w:styleId="indent2">
    <w:name w:val="indent2"/>
    <w:basedOn w:val="Normal"/>
    <w:rsid w:val="008D4A2B"/>
    <w:pPr>
      <w:ind w:left="1440" w:hanging="720"/>
    </w:pPr>
  </w:style>
  <w:style w:type="paragraph" w:styleId="ListNumber">
    <w:name w:val="List Number"/>
    <w:basedOn w:val="Normal"/>
    <w:rsid w:val="008D4A2B"/>
    <w:pPr>
      <w:numPr>
        <w:numId w:val="2"/>
      </w:numPr>
      <w:tabs>
        <w:tab w:val="left" w:pos="567"/>
      </w:tabs>
    </w:pPr>
  </w:style>
  <w:style w:type="paragraph" w:styleId="ListNumber2">
    <w:name w:val="List Number 2"/>
    <w:basedOn w:val="Normal"/>
    <w:rsid w:val="008D4A2B"/>
    <w:pPr>
      <w:numPr>
        <w:numId w:val="4"/>
      </w:numPr>
      <w:spacing w:before="60"/>
      <w:ind w:left="1208" w:hanging="357"/>
    </w:pPr>
  </w:style>
  <w:style w:type="paragraph" w:styleId="BalloonText">
    <w:name w:val="Balloon Text"/>
    <w:basedOn w:val="Normal"/>
    <w:link w:val="BalloonTextChar"/>
    <w:rsid w:val="0072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1461"/>
    <w:rPr>
      <w:rFonts w:ascii="Tahoma" w:hAnsi="Tahoma" w:cs="Tahoma"/>
      <w:sz w:val="16"/>
      <w:szCs w:val="16"/>
      <w:lang w:eastAsia="en-US"/>
    </w:rPr>
  </w:style>
  <w:style w:type="paragraph" w:customStyle="1" w:styleId="ColourfulShadingAccent31">
    <w:name w:val="Colourful Shading – Accent 31"/>
    <w:basedOn w:val="Normal"/>
    <w:uiPriority w:val="34"/>
    <w:qFormat/>
    <w:rsid w:val="00B36EB3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D2695"/>
    <w:rPr>
      <w:rFonts w:ascii="Arial" w:hAnsi="Arial"/>
      <w:sz w:val="23"/>
      <w:lang w:eastAsia="en-US"/>
    </w:rPr>
  </w:style>
  <w:style w:type="character" w:styleId="CommentReference">
    <w:name w:val="annotation reference"/>
    <w:rsid w:val="00AF6B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B91"/>
    <w:rPr>
      <w:sz w:val="20"/>
    </w:rPr>
  </w:style>
  <w:style w:type="character" w:customStyle="1" w:styleId="CommentTextChar">
    <w:name w:val="Comment Text Char"/>
    <w:link w:val="CommentText"/>
    <w:rsid w:val="00AF6B9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6B91"/>
    <w:rPr>
      <w:b/>
      <w:bCs/>
    </w:rPr>
  </w:style>
  <w:style w:type="character" w:customStyle="1" w:styleId="CommentSubjectChar">
    <w:name w:val="Comment Subject Char"/>
    <w:link w:val="CommentSubject"/>
    <w:rsid w:val="00AF6B91"/>
    <w:rPr>
      <w:rFonts w:ascii="Arial" w:hAnsi="Arial"/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4C5A19"/>
    <w:pPr>
      <w:ind w:left="720"/>
    </w:pPr>
  </w:style>
  <w:style w:type="character" w:styleId="Hyperlink">
    <w:name w:val="Hyperlink"/>
    <w:uiPriority w:val="99"/>
    <w:rsid w:val="004C5A19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A1624A"/>
    <w:rPr>
      <w:color w:val="2B579A"/>
      <w:shd w:val="clear" w:color="auto" w:fill="E6E6E6"/>
    </w:rPr>
  </w:style>
  <w:style w:type="paragraph" w:customStyle="1" w:styleId="MediumGrid1-Accent21">
    <w:name w:val="Medium Grid 1 - Accent 21"/>
    <w:basedOn w:val="Normal"/>
    <w:uiPriority w:val="34"/>
    <w:qFormat/>
    <w:rsid w:val="007D1F10"/>
    <w:pPr>
      <w:ind w:left="720"/>
    </w:pPr>
  </w:style>
  <w:style w:type="character" w:styleId="FollowedHyperlink">
    <w:name w:val="FollowedHyperlink"/>
    <w:rsid w:val="00E8545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A1624A"/>
    <w:pPr>
      <w:ind w:left="720"/>
    </w:pPr>
  </w:style>
  <w:style w:type="paragraph" w:styleId="NormalWeb">
    <w:name w:val="Normal (Web)"/>
    <w:basedOn w:val="Normal"/>
    <w:uiPriority w:val="99"/>
    <w:unhideWhenUsed/>
    <w:rsid w:val="000A556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0D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A6726"/>
  </w:style>
  <w:style w:type="paragraph" w:customStyle="1" w:styleId="Default">
    <w:name w:val="Default"/>
    <w:rsid w:val="00E411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E411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37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afc.uhi.ac.uk/t4-media/one-web/nafc/research/document/eez-reports/EEZ-Report-10a---2017-10-2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\Desktop\COSLAReport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635CDC4-FD21-4C57-8055-4D19BD057FDF">Robert Nicol</Owner>
    <Document_x0020_TYpe xmlns="3635CDC4-FD21-4C57-8055-4D19BD057FDF">Report</Document_x0020_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8DBFBAA176044942A701323A128C4" ma:contentTypeVersion="" ma:contentTypeDescription="Create a new document." ma:contentTypeScope="" ma:versionID="181cd54819f159efeabd95d42b4b5be8">
  <xsd:schema xmlns:xsd="http://www.w3.org/2001/XMLSchema" xmlns:xs="http://www.w3.org/2001/XMLSchema" xmlns:p="http://schemas.microsoft.com/office/2006/metadata/properties" xmlns:ns2="3635CDC4-FD21-4C57-8055-4D19BD057FDF" xmlns:ns3="ed5a4896-2da6-4469-a7e1-3f6eab57a1f0" xmlns:ns4="1e34b2d2-d5b0-4445-98c9-e1afca469b06" targetNamespace="http://schemas.microsoft.com/office/2006/metadata/properties" ma:root="true" ma:fieldsID="5cfb0434acca3f44a92743f3386b519e" ns2:_="" ns3:_="" ns4:_="">
    <xsd:import namespace="3635CDC4-FD21-4C57-8055-4D19BD057FDF"/>
    <xsd:import namespace="ed5a4896-2da6-4469-a7e1-3f6eab57a1f0"/>
    <xsd:import namespace="1e34b2d2-d5b0-4445-98c9-e1afca469b06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CDC4-FD21-4C57-8055-4D19BD057FD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4b2d2-d5b0-4445-98c9-e1afca469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EC86-7FA4-4D60-83C3-61E1A03F2E3A}">
  <ds:schemaRefs>
    <ds:schemaRef ds:uri="http://schemas.openxmlformats.org/package/2006/metadata/core-properties"/>
    <ds:schemaRef ds:uri="http://purl.org/dc/terms/"/>
    <ds:schemaRef ds:uri="ed5a4896-2da6-4469-a7e1-3f6eab57a1f0"/>
    <ds:schemaRef ds:uri="http://purl.org/dc/dcmitype/"/>
    <ds:schemaRef ds:uri="3635CDC4-FD21-4C57-8055-4D19BD057FD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8d3fe47-0298-401f-81f5-62a92c63d02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09F548-D486-4690-8BE2-3FE38EA332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07E591-1C4F-4809-B6A2-0506A3F42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C1F13-2DF4-4D7D-A4DB-096FD6BEB93D}"/>
</file>

<file path=customXml/itemProps5.xml><?xml version="1.0" encoding="utf-8"?>
<ds:datastoreItem xmlns:ds="http://schemas.openxmlformats.org/officeDocument/2006/customXml" ds:itemID="{8033E297-B515-4E93-9145-9135AE3D0F1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E532A98-F6F5-4A22-A8FC-6A078481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COSLAReport2017</Template>
  <TotalTime>39</TotalTime>
  <Pages>3</Pages>
  <Words>808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20170615</vt:lpstr>
    </vt:vector>
  </TitlesOfParts>
  <Company>cosla</Company>
  <LinksUpToDate>false</LinksUpToDate>
  <CharactersWithSpaces>5086</CharactersWithSpaces>
  <SharedDoc>false</SharedDoc>
  <HLinks>
    <vt:vector size="12" baseType="variant">
      <vt:variant>
        <vt:i4>1769494</vt:i4>
      </vt:variant>
      <vt:variant>
        <vt:i4>6</vt:i4>
      </vt:variant>
      <vt:variant>
        <vt:i4>0</vt:i4>
      </vt:variant>
      <vt:variant>
        <vt:i4>5</vt:i4>
      </vt:variant>
      <vt:variant>
        <vt:lpwstr>http://www.cosla.gov.uk/sites/default/files/private/coslaresponsetotheconsultationonthelongtermmanagementofthecr.pdf</vt:lpwstr>
      </vt:variant>
      <vt:variant>
        <vt:lpwstr/>
      </vt:variant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http://crownestatescotland.com/about-us/structure-governance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20170615</dc:title>
  <dc:creator>Scott Cowan</dc:creator>
  <cp:lastModifiedBy>Stuart Johnston</cp:lastModifiedBy>
  <cp:revision>13</cp:revision>
  <cp:lastPrinted>2017-08-04T10:46:00Z</cp:lastPrinted>
  <dcterms:created xsi:type="dcterms:W3CDTF">2018-05-24T13:41:00Z</dcterms:created>
  <dcterms:modified xsi:type="dcterms:W3CDTF">2018-06-07T08:57:00Z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0x010100FF18DBFBAA176044942A701323A128C4</vt:lpwstr>
  </property>
</Properties>
</file>